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w:t>
      </w:r>
      <w:proofErr w:type="gramStart"/>
      <w:r w:rsidR="00D634D1">
        <w:rPr>
          <w:rFonts w:ascii="Arial" w:hAnsi="Arial" w:cs="Arial"/>
          <w:i w:val="0"/>
          <w:sz w:val="22"/>
          <w:szCs w:val="22"/>
        </w:rPr>
        <w:t>i.e.</w:t>
      </w:r>
      <w:proofErr w:type="gramEnd"/>
      <w:r w:rsidR="00D634D1">
        <w:rPr>
          <w:rFonts w:ascii="Arial" w:hAnsi="Arial" w:cs="Arial"/>
          <w:i w:val="0"/>
          <w:sz w:val="22"/>
          <w:szCs w:val="22"/>
        </w:rPr>
        <w:t xml:space="preserv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 xml:space="preserve">Provide expertise to support delivery of outcomes from our assets. This may involve advising teams and external partners in the execution of asset management activity, </w:t>
      </w:r>
      <w:proofErr w:type="gramStart"/>
      <w:r w:rsidRPr="00FD00B1">
        <w:rPr>
          <w:rFonts w:ascii="Arial" w:eastAsia="Times New Roman" w:hAnsi="Arial" w:cs="Arial"/>
          <w:i w:val="0"/>
          <w:sz w:val="22"/>
          <w:szCs w:val="22"/>
          <w:lang w:eastAsia="en-GB"/>
        </w:rPr>
        <w:t>developing</w:t>
      </w:r>
      <w:proofErr w:type="gramEnd"/>
      <w:r w:rsidRPr="00FD00B1">
        <w:rPr>
          <w:rFonts w:ascii="Arial" w:eastAsia="Times New Roman" w:hAnsi="Arial" w:cs="Arial"/>
          <w:i w:val="0"/>
          <w:sz w:val="22"/>
          <w:szCs w:val="22"/>
          <w:lang w:eastAsia="en-GB"/>
        </w:rPr>
        <w:t xml:space="preserve">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 xml:space="preserve">Produce and / or review documentation such as technical designs, risk assessments, </w:t>
      </w:r>
      <w:proofErr w:type="gramStart"/>
      <w:r w:rsidRPr="00FD00B1">
        <w:rPr>
          <w:rFonts w:ascii="Arial" w:eastAsia="Times New Roman" w:hAnsi="Arial" w:cs="Arial"/>
          <w:i w:val="0"/>
          <w:sz w:val="22"/>
          <w:szCs w:val="22"/>
          <w:lang w:eastAsia="en-GB"/>
        </w:rPr>
        <w:t>reports</w:t>
      </w:r>
      <w:proofErr w:type="gramEnd"/>
      <w:r w:rsidRPr="00FD00B1">
        <w:rPr>
          <w:rFonts w:ascii="Arial" w:eastAsia="Times New Roman" w:hAnsi="Arial" w:cs="Arial"/>
          <w:i w:val="0"/>
          <w:sz w:val="22"/>
          <w:szCs w:val="22"/>
          <w:lang w:eastAsia="en-GB"/>
        </w:rPr>
        <w:t xml:space="preserve">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 xml:space="preserve">Responsible for a team, providing leadership, </w:t>
      </w:r>
      <w:proofErr w:type="gramStart"/>
      <w:r w:rsidRPr="00FD00B1">
        <w:rPr>
          <w:rFonts w:ascii="Arial" w:hAnsi="Arial" w:cs="Arial"/>
          <w:i w:val="0"/>
          <w:sz w:val="22"/>
          <w:szCs w:val="22"/>
        </w:rPr>
        <w:t>direction</w:t>
      </w:r>
      <w:proofErr w:type="gramEnd"/>
      <w:r w:rsidRPr="00FD00B1">
        <w:rPr>
          <w:rFonts w:ascii="Arial" w:hAnsi="Arial" w:cs="Arial"/>
          <w:i w:val="0"/>
          <w:sz w:val="22"/>
          <w:szCs w:val="22"/>
        </w:rPr>
        <w:t xml:space="preserve">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 xml:space="preserve">Roles require proven experience, usually gained within a relevant field. Depending on the role, this could be specific technical, </w:t>
      </w:r>
      <w:proofErr w:type="gramStart"/>
      <w:r w:rsidRPr="00696FD9">
        <w:rPr>
          <w:rFonts w:ascii="Arial" w:eastAsia="Times New Roman" w:hAnsi="Arial" w:cs="Arial"/>
          <w:i w:val="0"/>
          <w:sz w:val="22"/>
          <w:szCs w:val="22"/>
          <w:lang w:eastAsia="en-GB"/>
        </w:rPr>
        <w:t>engineering</w:t>
      </w:r>
      <w:proofErr w:type="gramEnd"/>
      <w:r w:rsidRPr="00696FD9">
        <w:rPr>
          <w:rFonts w:ascii="Arial" w:eastAsia="Times New Roman" w:hAnsi="Arial" w:cs="Arial"/>
          <w:i w:val="0"/>
          <w:sz w:val="22"/>
          <w:szCs w:val="22"/>
          <w:lang w:eastAsia="en-GB"/>
        </w:rPr>
        <w:t xml:space="preserve">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 xml:space="preserve">Manages health, safety &amp; wellbeing matters by actively promoting awareness and good </w:t>
      </w:r>
      <w:proofErr w:type="gramStart"/>
      <w:r w:rsidRPr="00C41BE2">
        <w:rPr>
          <w:rFonts w:ascii="Arial" w:hAnsi="Arial" w:cs="Arial"/>
          <w:i w:val="0"/>
          <w:sz w:val="22"/>
          <w:szCs w:val="22"/>
        </w:rPr>
        <w:t>practice, and</w:t>
      </w:r>
      <w:proofErr w:type="gramEnd"/>
      <w:r w:rsidRPr="00C41BE2">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Required to understand, </w:t>
      </w:r>
      <w:proofErr w:type="gramStart"/>
      <w:r w:rsidRPr="00C41BE2">
        <w:rPr>
          <w:rFonts w:ascii="Arial" w:hAnsi="Arial" w:cs="Arial"/>
          <w:i w:val="0"/>
          <w:sz w:val="22"/>
          <w:szCs w:val="22"/>
        </w:rPr>
        <w:t>influence</w:t>
      </w:r>
      <w:proofErr w:type="gramEnd"/>
      <w:r w:rsidRPr="00C41BE2">
        <w:rPr>
          <w:rFonts w:ascii="Arial" w:hAnsi="Arial" w:cs="Arial"/>
          <w:i w:val="0"/>
          <w:sz w:val="22"/>
          <w:szCs w:val="22"/>
        </w:rPr>
        <w:t xml:space="preserv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 xml:space="preserve">Understands, </w:t>
      </w:r>
      <w:proofErr w:type="gramStart"/>
      <w:r w:rsidRPr="00C41BE2">
        <w:rPr>
          <w:rFonts w:ascii="Arial" w:hAnsi="Arial" w:cs="Arial"/>
          <w:i w:val="0"/>
          <w:sz w:val="22"/>
          <w:szCs w:val="22"/>
        </w:rPr>
        <w:t>interprets</w:t>
      </w:r>
      <w:proofErr w:type="gramEnd"/>
      <w:r w:rsidRPr="00C41BE2">
        <w:rPr>
          <w:rFonts w:ascii="Arial" w:hAnsi="Arial" w:cs="Arial"/>
          <w:i w:val="0"/>
          <w:sz w:val="22"/>
          <w:szCs w:val="22"/>
        </w:rPr>
        <w:t xml:space="preserve">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8145" w14:textId="77777777" w:rsidR="00D749F0" w:rsidRDefault="00D749F0" w:rsidP="0045465B">
      <w:pPr>
        <w:spacing w:after="0" w:line="240" w:lineRule="auto"/>
      </w:pPr>
      <w:r>
        <w:separator/>
      </w:r>
    </w:p>
  </w:endnote>
  <w:endnote w:type="continuationSeparator" w:id="0">
    <w:p w14:paraId="6C71CD66" w14:textId="77777777" w:rsidR="00D749F0" w:rsidRDefault="00D749F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407" w14:textId="77777777" w:rsidR="00806A73" w:rsidRDefault="008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790A" w14:textId="77777777" w:rsidR="00806A73" w:rsidRDefault="00806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E90C" w14:textId="77777777" w:rsidR="00806A73" w:rsidRDefault="0080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A6AF" w14:textId="77777777" w:rsidR="00D749F0" w:rsidRDefault="00D749F0" w:rsidP="0045465B">
      <w:pPr>
        <w:spacing w:after="0" w:line="240" w:lineRule="auto"/>
      </w:pPr>
      <w:r>
        <w:separator/>
      </w:r>
    </w:p>
  </w:footnote>
  <w:footnote w:type="continuationSeparator" w:id="0">
    <w:p w14:paraId="3A67E7DE" w14:textId="77777777" w:rsidR="00D749F0" w:rsidRDefault="00D749F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255" w14:textId="77777777" w:rsidR="00806A73" w:rsidRDefault="0080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44E" w14:textId="77777777" w:rsidR="00806A73" w:rsidRDefault="0080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1D33"/>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2BCE"/>
    <w:rsid w:val="00CA390C"/>
    <w:rsid w:val="00CA5494"/>
    <w:rsid w:val="00CB59A1"/>
    <w:rsid w:val="00CD14C9"/>
    <w:rsid w:val="00CD38B8"/>
    <w:rsid w:val="00CF6F1C"/>
    <w:rsid w:val="00D01B72"/>
    <w:rsid w:val="00D0489B"/>
    <w:rsid w:val="00D32278"/>
    <w:rsid w:val="00D32942"/>
    <w:rsid w:val="00D347B8"/>
    <w:rsid w:val="00D468BD"/>
    <w:rsid w:val="00D634D1"/>
    <w:rsid w:val="00D749F0"/>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2.xml><?xml version="1.0" encoding="utf-8"?>
<ds:datastoreItem xmlns:ds="http://schemas.openxmlformats.org/officeDocument/2006/customXml" ds:itemID="{F138889B-6B6F-438E-8B04-8B394FA0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4.xml><?xml version="1.0" encoding="utf-8"?>
<ds:datastoreItem xmlns:ds="http://schemas.openxmlformats.org/officeDocument/2006/customXml" ds:itemID="{9F0A738D-D99E-4A2B-A980-040E09892F0C}">
  <ds:schemaRefs>
    <ds:schemaRef ds:uri="http://schemas.openxmlformats.org/officeDocument/2006/bibliography"/>
  </ds:schemaRefs>
</ds:datastoreItem>
</file>

<file path=customXml/itemProps5.xml><?xml version="1.0" encoding="utf-8"?>
<ds:datastoreItem xmlns:ds="http://schemas.openxmlformats.org/officeDocument/2006/customXml" ds:itemID="{46237344-13AA-4E14-A3B7-CB48B155E28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4B6F2E3A-4E33-4BA5-98F4-AA3C31B74C8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2023-03-09T12:51:00Z</dcterms:created>
  <dcterms:modified xsi:type="dcterms:W3CDTF">2023-03-09T12:51:00Z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