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C160" w14:textId="77777777" w:rsidR="003C29A4" w:rsidRDefault="000D2778">
      <w:pPr>
        <w:tabs>
          <w:tab w:val="center" w:pos="6685"/>
        </w:tabs>
        <w:spacing w:after="2" w:line="259" w:lineRule="auto"/>
        <w:ind w:left="0" w:firstLine="0"/>
        <w:jc w:val="left"/>
      </w:pPr>
      <w:bookmarkStart w:id="0" w:name="_GoBack"/>
      <w:bookmarkEnd w:id="0"/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</w:p>
    <w:p w14:paraId="0F21640F" w14:textId="77777777" w:rsidR="003C29A4" w:rsidRDefault="000D2778">
      <w:pPr>
        <w:spacing w:after="124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0F08414F" w14:textId="77777777" w:rsidR="003C29A4" w:rsidRDefault="000D2778">
      <w:pPr>
        <w:pStyle w:val="Heading1"/>
        <w:shd w:val="clear" w:color="auto" w:fill="auto"/>
        <w:ind w:left="0" w:firstLine="0"/>
      </w:pPr>
      <w:r>
        <w:t xml:space="preserve">Job Family Role Profile: Environment &amp; Regulation, Grade 3  </w:t>
      </w:r>
    </w:p>
    <w:p w14:paraId="4ABE2D78" w14:textId="77777777" w:rsidR="003C29A4" w:rsidRDefault="000D2778">
      <w:pPr>
        <w:spacing w:after="32" w:line="288" w:lineRule="auto"/>
        <w:ind w:left="715" w:right="-14" w:hanging="370"/>
        <w:jc w:val="left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This is a generic role profile. It aims to outline the requirements of roles broadly within the job family and grade detailed above rather than provide the requirements of a specific job </w:t>
      </w:r>
    </w:p>
    <w:p w14:paraId="7CE33027" w14:textId="77777777" w:rsidR="003C29A4" w:rsidRDefault="000D2778">
      <w:pPr>
        <w:spacing w:after="0" w:line="288" w:lineRule="auto"/>
        <w:ind w:left="345" w:right="94" w:firstLine="0"/>
        <w:jc w:val="left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This profile should be used as a template to help ‘frame’ the rig</w:t>
      </w:r>
      <w:r>
        <w:rPr>
          <w:i/>
          <w:sz w:val="20"/>
        </w:rPr>
        <w:t xml:space="preserve">ht size and shape of work undertaken locally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i/>
          <w:sz w:val="20"/>
        </w:rPr>
        <w:t>For</w:t>
      </w:r>
      <w:proofErr w:type="gramEnd"/>
      <w:r>
        <w:rPr>
          <w:i/>
          <w:sz w:val="20"/>
        </w:rPr>
        <w:t xml:space="preserve"> further guidance on how to use job family role profiles effectively, please see the Easinet </w:t>
      </w:r>
    </w:p>
    <w:p w14:paraId="32BB4706" w14:textId="77777777" w:rsidR="003C29A4" w:rsidRDefault="000D2778">
      <w:pPr>
        <w:spacing w:after="338" w:line="259" w:lineRule="auto"/>
        <w:ind w:left="720" w:firstLine="0"/>
        <w:jc w:val="left"/>
      </w:pPr>
      <w:r>
        <w:rPr>
          <w:i/>
        </w:rPr>
        <w:t xml:space="preserve"> </w:t>
      </w:r>
    </w:p>
    <w:p w14:paraId="55A07896" w14:textId="77777777" w:rsidR="003C29A4" w:rsidRDefault="000D2778">
      <w:pPr>
        <w:pStyle w:val="Heading1"/>
        <w:ind w:left="103"/>
      </w:pPr>
      <w:r>
        <w:t xml:space="preserve">Job Family Description </w:t>
      </w:r>
    </w:p>
    <w:p w14:paraId="083EF04E" w14:textId="77777777" w:rsidR="003C29A4" w:rsidRDefault="000D2778">
      <w:pPr>
        <w:ind w:left="-4" w:right="5"/>
      </w:pPr>
      <w:r>
        <w:t>These are roles engaged in the delivery of operational and regulatory services that a</w:t>
      </w:r>
      <w:r>
        <w:t xml:space="preserve">re key to the protection and improvement of our water, land and air. </w:t>
      </w:r>
    </w:p>
    <w:p w14:paraId="7195A3B2" w14:textId="77777777" w:rsidR="003C29A4" w:rsidRDefault="000D2778">
      <w:pPr>
        <w:ind w:left="-4" w:right="5"/>
      </w:pPr>
      <w:r>
        <w:t>This job family hosts a variety of skills and activities, such as monitoring enforcement through to licensing and permitting. Roles can be field based, gathering data or 'auditing' custo</w:t>
      </w:r>
      <w:r>
        <w:t xml:space="preserve">mers, or office based carrying out analysis or providing advice on environmental issues to customers. </w:t>
      </w:r>
    </w:p>
    <w:p w14:paraId="14B5C8D2" w14:textId="77777777" w:rsidR="003C29A4" w:rsidRDefault="000D2778">
      <w:pPr>
        <w:spacing w:after="335" w:line="259" w:lineRule="auto"/>
        <w:ind w:left="0" w:firstLine="0"/>
        <w:jc w:val="left"/>
      </w:pPr>
      <w:r>
        <w:t xml:space="preserve"> </w:t>
      </w:r>
    </w:p>
    <w:p w14:paraId="1CE5DC29" w14:textId="77777777" w:rsidR="003C29A4" w:rsidRDefault="000D2778">
      <w:pPr>
        <w:pStyle w:val="Heading1"/>
        <w:ind w:left="103" w:right="48"/>
      </w:pPr>
      <w:r>
        <w:t xml:space="preserve">Purpose Statement </w:t>
      </w:r>
    </w:p>
    <w:p w14:paraId="393BC964" w14:textId="77777777" w:rsidR="003C29A4" w:rsidRDefault="000D2778">
      <w:pPr>
        <w:shd w:val="clear" w:color="auto" w:fill="8CD8B1"/>
        <w:spacing w:after="141" w:line="259" w:lineRule="auto"/>
        <w:ind w:left="103" w:right="48"/>
      </w:pPr>
      <w:r>
        <w:rPr>
          <w:b/>
          <w:sz w:val="20"/>
        </w:rPr>
        <w:t>The contribution and key purpose of roles in this job family at this grade. It indicates the typical degree of independence these roles hold. Note: names of roles are intended to illustrate the type of roles at this grade and are not related to job title.</w:t>
      </w:r>
      <w:r>
        <w:rPr>
          <w:b/>
          <w:color w:val="03A953"/>
          <w:sz w:val="28"/>
        </w:rPr>
        <w:t xml:space="preserve"> </w:t>
      </w:r>
    </w:p>
    <w:p w14:paraId="45A9D985" w14:textId="77777777" w:rsidR="003C29A4" w:rsidRDefault="000D2778">
      <w:pPr>
        <w:ind w:left="-4" w:right="5"/>
      </w:pPr>
      <w:r>
        <w:t xml:space="preserve">Acts as part of a team delivering operational and / or regulatory activities and support to ensure achievement of environmental outcomes. </w:t>
      </w:r>
      <w:r>
        <w:rPr>
          <w:b/>
        </w:rPr>
        <w:t xml:space="preserve"> </w:t>
      </w:r>
    </w:p>
    <w:p w14:paraId="200A9524" w14:textId="77777777" w:rsidR="003C29A4" w:rsidRDefault="000D2778">
      <w:pPr>
        <w:ind w:left="-4" w:right="5"/>
      </w:pPr>
      <w:r>
        <w:t>Roles can be field or office based and cover a range of activities from carrying out enforcement and field monitori</w:t>
      </w:r>
      <w:r>
        <w:t xml:space="preserve">ng tasks through to dealing with </w:t>
      </w:r>
      <w:proofErr w:type="gramStart"/>
      <w:r>
        <w:t>customers, and</w:t>
      </w:r>
      <w:proofErr w:type="gramEnd"/>
      <w:r>
        <w:t xml:space="preserve"> providing analysis.</w:t>
      </w:r>
      <w:r>
        <w:rPr>
          <w:b/>
        </w:rPr>
        <w:t xml:space="preserve"> </w:t>
      </w:r>
    </w:p>
    <w:p w14:paraId="5108470A" w14:textId="77777777" w:rsidR="003C29A4" w:rsidRDefault="000D2778">
      <w:pPr>
        <w:ind w:left="-4" w:right="5"/>
      </w:pPr>
      <w:r>
        <w:t xml:space="preserve">Roles will interact with internal and external customers. </w:t>
      </w:r>
      <w:r>
        <w:rPr>
          <w:b/>
        </w:rPr>
        <w:t xml:space="preserve"> </w:t>
      </w:r>
    </w:p>
    <w:p w14:paraId="459A36FB" w14:textId="77777777" w:rsidR="003C29A4" w:rsidRDefault="000D2778">
      <w:pPr>
        <w:ind w:left="-4" w:right="5"/>
      </w:pPr>
      <w:r>
        <w:t>Some roles in this job family participate in incident response as part of their accountability.</w:t>
      </w:r>
      <w:r>
        <w:rPr>
          <w:b/>
        </w:rPr>
        <w:t xml:space="preserve"> </w:t>
      </w:r>
    </w:p>
    <w:p w14:paraId="483C07AF" w14:textId="77777777" w:rsidR="003C29A4" w:rsidRDefault="000D2778">
      <w:pPr>
        <w:ind w:left="-4" w:right="5"/>
      </w:pPr>
      <w:r>
        <w:t>These roles work to standardis</w:t>
      </w:r>
      <w:r>
        <w:t>ed procedures and are required to plan and organise their own work to achieve short term results.</w:t>
      </w:r>
      <w:r>
        <w:rPr>
          <w:b/>
        </w:rPr>
        <w:t xml:space="preserve"> </w:t>
      </w:r>
    </w:p>
    <w:p w14:paraId="41FFAFDF" w14:textId="77777777" w:rsidR="003C29A4" w:rsidRDefault="000D2778">
      <w:pPr>
        <w:spacing w:after="335" w:line="259" w:lineRule="auto"/>
        <w:ind w:left="0" w:firstLine="0"/>
        <w:jc w:val="left"/>
      </w:pPr>
      <w:r>
        <w:t xml:space="preserve"> </w:t>
      </w:r>
    </w:p>
    <w:p w14:paraId="090ADC0D" w14:textId="77777777" w:rsidR="003C29A4" w:rsidRDefault="000D2778">
      <w:pPr>
        <w:pStyle w:val="Heading1"/>
        <w:ind w:left="103" w:right="48"/>
      </w:pPr>
      <w:r>
        <w:t xml:space="preserve">Representative Accountabilities </w:t>
      </w:r>
    </w:p>
    <w:p w14:paraId="00A890A1" w14:textId="77777777" w:rsidR="003C29A4" w:rsidRDefault="000D2778">
      <w:pPr>
        <w:shd w:val="clear" w:color="auto" w:fill="8CD8B1"/>
        <w:spacing w:after="183" w:line="259" w:lineRule="auto"/>
        <w:ind w:left="103" w:right="48"/>
      </w:pPr>
      <w:r>
        <w:rPr>
          <w:b/>
          <w:sz w:val="20"/>
        </w:rPr>
        <w:t>The key areas of work and responsibilities for these roles. Points identify typical areas of outputs and suggest anticipat</w:t>
      </w:r>
      <w:r>
        <w:rPr>
          <w:b/>
          <w:sz w:val="20"/>
        </w:rPr>
        <w:t>ed results but are not exhaustive or specific.</w:t>
      </w:r>
      <w:r>
        <w:rPr>
          <w:b/>
          <w:color w:val="03A953"/>
          <w:sz w:val="28"/>
        </w:rPr>
        <w:t xml:space="preserve"> </w:t>
      </w:r>
    </w:p>
    <w:p w14:paraId="5DC122EA" w14:textId="77777777" w:rsidR="003C29A4" w:rsidRDefault="000D2778">
      <w:pPr>
        <w:spacing w:after="150"/>
        <w:ind w:left="360" w:hanging="360"/>
        <w:jc w:val="left"/>
      </w:pPr>
      <w:r>
        <w:rPr>
          <w:rFonts w:ascii="Segoe UI Symbol" w:eastAsia="Segoe UI Symbol" w:hAnsi="Segoe UI Symbol" w:cs="Segoe UI Symbol"/>
        </w:rPr>
        <w:lastRenderedPageBreak/>
        <w:t>x</w:t>
      </w:r>
      <w:r>
        <w:t xml:space="preserve"> </w:t>
      </w:r>
      <w:r>
        <w:tab/>
        <w:t>Provides accurate and timely support for operational and/ or regulatory decisions, by carrying out routine interpretation of data and, where required, preparing basic reports. In some cases, providing a fi</w:t>
      </w:r>
      <w:r>
        <w:t>rst level regulatory responses on behalf of the team.</w:t>
      </w:r>
      <w:r>
        <w:rPr>
          <w:b/>
        </w:rPr>
        <w:t xml:space="preserve"> </w:t>
      </w:r>
    </w:p>
    <w:p w14:paraId="55654E37" w14:textId="77777777" w:rsidR="003C29A4" w:rsidRDefault="000D2778">
      <w:pPr>
        <w:tabs>
          <w:tab w:val="center" w:pos="5159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check compliance with environmental standards and undertake front line investigations.</w:t>
      </w:r>
      <w:r>
        <w:rPr>
          <w:b/>
        </w:rPr>
        <w:t xml:space="preserve"> </w:t>
      </w:r>
    </w:p>
    <w:p w14:paraId="2A7665CE" w14:textId="77777777" w:rsidR="003C29A4" w:rsidRDefault="000D2778">
      <w:pPr>
        <w:tabs>
          <w:tab w:val="center" w:pos="6685"/>
        </w:tabs>
        <w:spacing w:after="2" w:line="259" w:lineRule="auto"/>
        <w:ind w:left="0" w:firstLine="0"/>
        <w:jc w:val="left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</w:p>
    <w:p w14:paraId="1B2C50CD" w14:textId="77777777" w:rsidR="003C29A4" w:rsidRDefault="000D2778">
      <w:pPr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0E248E76" w14:textId="77777777" w:rsidR="003C29A4" w:rsidRDefault="000D2778">
      <w:pPr>
        <w:spacing w:after="149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provide a comprehensive support service to the team, ensuring efficient systems are in place to maximise the effective use of team’s time.</w:t>
      </w:r>
      <w:r>
        <w:rPr>
          <w:b/>
        </w:rPr>
        <w:t xml:space="preserve"> </w:t>
      </w:r>
    </w:p>
    <w:p w14:paraId="2B79EB02" w14:textId="77777777" w:rsidR="003C29A4" w:rsidRDefault="000D2778">
      <w:pPr>
        <w:spacing w:after="147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Maintains good customer focus and ensures effective relationship building and partnership working to </w:t>
      </w:r>
      <w:r>
        <w:t>support the organisation achieve its operational and regulatory objectives.</w:t>
      </w:r>
      <w:r>
        <w:rPr>
          <w:b/>
        </w:rPr>
        <w:t xml:space="preserve"> </w:t>
      </w:r>
    </w:p>
    <w:p w14:paraId="7F3970A8" w14:textId="77777777" w:rsidR="003C29A4" w:rsidRDefault="000D2778">
      <w:pPr>
        <w:tabs>
          <w:tab w:val="right" w:pos="10468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contribute to projects applying local knowledge or technical skills to the solution of problems.</w:t>
      </w:r>
      <w:r>
        <w:rPr>
          <w:b/>
        </w:rPr>
        <w:t xml:space="preserve"> </w:t>
      </w:r>
    </w:p>
    <w:p w14:paraId="59A3E16E" w14:textId="77777777" w:rsidR="003C29A4" w:rsidRDefault="000D2778">
      <w:pPr>
        <w:spacing w:after="144"/>
        <w:ind w:left="-4" w:right="312"/>
      </w:pPr>
      <w:r>
        <w:rPr>
          <w:rFonts w:ascii="Segoe UI Symbol" w:eastAsia="Segoe UI Symbol" w:hAnsi="Segoe UI Symbol" w:cs="Segoe UI Symbol"/>
        </w:rPr>
        <w:t>x</w:t>
      </w:r>
      <w:r>
        <w:t xml:space="preserve"> Some activities may involve the use of specialised equipment and /</w:t>
      </w:r>
      <w:r>
        <w:t xml:space="preserve"> or systems in the delivery of their objectives.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x</w:t>
      </w:r>
      <w:r>
        <w:t xml:space="preserve"> Some roles handle sensitive regulatory cases and are required to deal with confidential information appropriately.</w:t>
      </w:r>
      <w:r>
        <w:rPr>
          <w:b/>
        </w:rPr>
        <w:t xml:space="preserve"> </w:t>
      </w:r>
    </w:p>
    <w:p w14:paraId="7F0C114C" w14:textId="77777777" w:rsidR="003C29A4" w:rsidRDefault="000D2778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Operates and maintains data and information systems effectively. Ensures records are s</w:t>
      </w:r>
      <w:r>
        <w:t xml:space="preserve">tored accurately, are up to date and readily accessible to facilitate team activities. </w:t>
      </w:r>
      <w:r>
        <w:rPr>
          <w:b/>
        </w:rPr>
        <w:t xml:space="preserve"> </w:t>
      </w:r>
    </w:p>
    <w:p w14:paraId="0D0096BC" w14:textId="77777777" w:rsidR="003C29A4" w:rsidRDefault="000D2778">
      <w:pPr>
        <w:spacing w:after="338" w:line="259" w:lineRule="auto"/>
        <w:ind w:left="1" w:firstLine="0"/>
        <w:jc w:val="left"/>
      </w:pPr>
      <w:r>
        <w:t xml:space="preserve"> </w:t>
      </w:r>
    </w:p>
    <w:p w14:paraId="6AA3632A" w14:textId="77777777" w:rsidR="003C29A4" w:rsidRDefault="000D2778">
      <w:pPr>
        <w:pStyle w:val="Heading1"/>
        <w:ind w:left="103" w:right="48"/>
      </w:pPr>
      <w:r>
        <w:t xml:space="preserve">Typical skills, knowledge and experience  </w:t>
      </w:r>
    </w:p>
    <w:p w14:paraId="19203D4B" w14:textId="77777777" w:rsidR="003C29A4" w:rsidRDefault="000D2778">
      <w:pPr>
        <w:shd w:val="clear" w:color="auto" w:fill="8CD8B1"/>
        <w:spacing w:after="258" w:line="259" w:lineRule="auto"/>
        <w:ind w:left="103" w:right="48"/>
      </w:pPr>
      <w:r>
        <w:rPr>
          <w:b/>
          <w:sz w:val="20"/>
        </w:rPr>
        <w:t>The knowledge, skills and experience indicated usually reflect the minimum levels required for competent performance in th</w:t>
      </w:r>
      <w:r>
        <w:rPr>
          <w:b/>
          <w:sz w:val="20"/>
        </w:rPr>
        <w:t>e role. Due to the generic nature of job family profiles, detailed requirements need to be specified in supporting documentation, such as the advert.</w:t>
      </w:r>
      <w:r>
        <w:rPr>
          <w:b/>
          <w:color w:val="03A953"/>
          <w:sz w:val="20"/>
        </w:rPr>
        <w:t xml:space="preserve"> </w:t>
      </w:r>
    </w:p>
    <w:p w14:paraId="04DC2377" w14:textId="77777777" w:rsidR="003C29A4" w:rsidRDefault="000D2778">
      <w:pPr>
        <w:spacing w:after="149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Requires specific and relevant skills and / or experience to independently carry out required tasks an</w:t>
      </w:r>
      <w:r>
        <w:t xml:space="preserve">d activities in a regulatory and/ operational environment. </w:t>
      </w:r>
    </w:p>
    <w:p w14:paraId="0C494F12" w14:textId="77777777" w:rsidR="003C29A4" w:rsidRDefault="000D2778">
      <w:pPr>
        <w:tabs>
          <w:tab w:val="center" w:pos="4586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Roles expected to exercise judgement in prioritisation and highlighting potential issues. </w:t>
      </w:r>
    </w:p>
    <w:p w14:paraId="736B19E9" w14:textId="77777777" w:rsidR="003C29A4" w:rsidRDefault="000D2778">
      <w:pPr>
        <w:tabs>
          <w:tab w:val="center" w:pos="2580"/>
        </w:tabs>
        <w:ind w:left="-14" w:firstLine="0"/>
        <w:jc w:val="left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Good level of literacy and numeracy required. </w:t>
      </w:r>
    </w:p>
    <w:p w14:paraId="6ECDFE92" w14:textId="77777777" w:rsidR="003C29A4" w:rsidRDefault="000D2778">
      <w:pPr>
        <w:spacing w:after="144"/>
        <w:ind w:left="-4" w:right="201"/>
      </w:pPr>
      <w:r>
        <w:rPr>
          <w:rFonts w:ascii="Segoe UI Symbol" w:eastAsia="Segoe UI Symbol" w:hAnsi="Segoe UI Symbol" w:cs="Segoe UI Symbol"/>
        </w:rPr>
        <w:t>x</w:t>
      </w:r>
      <w:r>
        <w:t xml:space="preserve"> Required to build relationships based on understanding customers’ needs and providing the service required. </w:t>
      </w:r>
      <w:r>
        <w:rPr>
          <w:rFonts w:ascii="Segoe UI Symbol" w:eastAsia="Segoe UI Symbol" w:hAnsi="Segoe UI Symbol" w:cs="Segoe UI Symbol"/>
        </w:rPr>
        <w:t>x</w:t>
      </w:r>
      <w:r>
        <w:t xml:space="preserve"> Required to use standard IT packages efficiently to deliver work and able to learn specialised systems as required. </w:t>
      </w:r>
    </w:p>
    <w:p w14:paraId="6FAC1BDA" w14:textId="77777777" w:rsidR="003C29A4" w:rsidRDefault="000D2778">
      <w:pPr>
        <w:spacing w:after="0" w:line="378" w:lineRule="auto"/>
        <w:ind w:left="-4" w:right="3255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>Roles may require vocatio</w:t>
      </w:r>
      <w:r>
        <w:t xml:space="preserve">nal qualifications or equivalent experience. </w:t>
      </w: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Roles may be required to use specialised equipment. </w:t>
      </w:r>
    </w:p>
    <w:p w14:paraId="38B55AEE" w14:textId="77777777" w:rsidR="003C29A4" w:rsidRDefault="000D2778">
      <w:pPr>
        <w:spacing w:after="276" w:line="259" w:lineRule="auto"/>
        <w:ind w:left="2" w:firstLine="0"/>
        <w:jc w:val="left"/>
      </w:pPr>
      <w:r>
        <w:t xml:space="preserve"> </w:t>
      </w:r>
    </w:p>
    <w:p w14:paraId="206E231F" w14:textId="77777777" w:rsidR="003C29A4" w:rsidRDefault="000D2778">
      <w:pPr>
        <w:pStyle w:val="Heading1"/>
        <w:ind w:left="103" w:right="48"/>
      </w:pPr>
      <w:r>
        <w:lastRenderedPageBreak/>
        <w:t xml:space="preserve">Expectations for these roles  </w:t>
      </w:r>
    </w:p>
    <w:p w14:paraId="3C461AC1" w14:textId="77777777" w:rsidR="003C29A4" w:rsidRDefault="000D2778">
      <w:pPr>
        <w:shd w:val="clear" w:color="auto" w:fill="8CD8B1"/>
        <w:spacing w:after="172" w:line="259" w:lineRule="auto"/>
        <w:ind w:left="103" w:right="48"/>
      </w:pPr>
      <w:r>
        <w:rPr>
          <w:b/>
          <w:sz w:val="20"/>
        </w:rPr>
        <w:t>Sets relevant expectations for roles by grade, including health and safety, equality and diversity, communications require</w:t>
      </w:r>
      <w:r>
        <w:rPr>
          <w:b/>
          <w:sz w:val="20"/>
        </w:rPr>
        <w:t>d, quality assurance and level of organisational wide understanding required for role. This section is common to all job families at this grade.</w:t>
      </w:r>
      <w:r>
        <w:rPr>
          <w:b/>
          <w:color w:val="03A953"/>
          <w:sz w:val="28"/>
        </w:rPr>
        <w:t xml:space="preserve"> </w:t>
      </w:r>
    </w:p>
    <w:p w14:paraId="687D2452" w14:textId="77777777" w:rsidR="003C29A4" w:rsidRDefault="000D2778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Supports health, safety &amp; wellbeing best practice by promoting awareness and following safe working practices that comply with Environment Agency policies and standards. </w:t>
      </w:r>
    </w:p>
    <w:p w14:paraId="23E73F33" w14:textId="77777777" w:rsidR="003C29A4" w:rsidRDefault="000D2778">
      <w:pPr>
        <w:tabs>
          <w:tab w:val="center" w:pos="6685"/>
        </w:tabs>
        <w:spacing w:after="2" w:line="259" w:lineRule="auto"/>
        <w:ind w:left="0" w:firstLine="0"/>
        <w:jc w:val="left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22/05/2017 </w:t>
      </w:r>
    </w:p>
    <w:p w14:paraId="79704018" w14:textId="77777777" w:rsidR="003C29A4" w:rsidRDefault="000D2778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6257DE3D" w14:textId="77777777" w:rsidR="003C29A4" w:rsidRDefault="000D2778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Promotes inclusion by respecting differences in our workforce and works to build a supportive &amp; engaging workplace. </w:t>
      </w:r>
    </w:p>
    <w:p w14:paraId="5FF5BE5F" w14:textId="77777777" w:rsidR="003C29A4" w:rsidRDefault="000D2778">
      <w:pPr>
        <w:spacing w:after="150"/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Required to communicate effectively with others in everyday working relationships. Sometimes communicates outside of own area of activit</w:t>
      </w:r>
      <w:r>
        <w:t xml:space="preserve">y and required to explain technical issues to a non-technical audience. </w:t>
      </w:r>
    </w:p>
    <w:p w14:paraId="71953825" w14:textId="77777777" w:rsidR="003C29A4" w:rsidRDefault="000D2778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Works with senior team members to deliver team priorities and environmental objectives. Delivers to clearly specified objectives, standards and service levels. </w:t>
      </w:r>
    </w:p>
    <w:p w14:paraId="0497EA64" w14:textId="77777777" w:rsidR="003C29A4" w:rsidRDefault="000D2778">
      <w:pPr>
        <w:ind w:left="346" w:right="5" w:hanging="360"/>
      </w:pPr>
      <w:r>
        <w:rPr>
          <w:rFonts w:ascii="Segoe UI Symbol" w:eastAsia="Segoe UI Symbol" w:hAnsi="Segoe UI Symbol" w:cs="Segoe UI Symbol"/>
        </w:rPr>
        <w:t>x</w:t>
      </w:r>
      <w:r>
        <w:t xml:space="preserve"> Understands colle</w:t>
      </w:r>
      <w:r>
        <w:t xml:space="preserve">agues and partners requirements. Interprets and communicates the work of the Environment Agency. </w:t>
      </w:r>
    </w:p>
    <w:p w14:paraId="5307B70C" w14:textId="77777777" w:rsidR="003C29A4" w:rsidRDefault="000D2778">
      <w:pPr>
        <w:spacing w:after="335" w:line="259" w:lineRule="auto"/>
        <w:ind w:left="0" w:firstLine="0"/>
        <w:jc w:val="left"/>
      </w:pPr>
      <w:r>
        <w:t xml:space="preserve"> </w:t>
      </w:r>
    </w:p>
    <w:p w14:paraId="6A063474" w14:textId="77777777" w:rsidR="003C29A4" w:rsidRDefault="000D2778">
      <w:pPr>
        <w:pStyle w:val="Heading1"/>
        <w:ind w:left="103" w:right="48"/>
      </w:pPr>
      <w:r>
        <w:t xml:space="preserve">Grade Distinction  </w:t>
      </w:r>
    </w:p>
    <w:p w14:paraId="0B1731F7" w14:textId="77777777" w:rsidR="003C29A4" w:rsidRDefault="000D2778">
      <w:pPr>
        <w:shd w:val="clear" w:color="auto" w:fill="8CD8B1"/>
        <w:spacing w:after="0" w:line="259" w:lineRule="auto"/>
        <w:ind w:left="103" w:right="48"/>
      </w:pPr>
      <w:r>
        <w:rPr>
          <w:b/>
          <w:sz w:val="20"/>
        </w:rPr>
        <w:t xml:space="preserve">Outlines the difference in expectations and/or accountabilities for roles at grade above and below this profile. This section is common </w:t>
      </w:r>
      <w:r>
        <w:rPr>
          <w:b/>
          <w:sz w:val="20"/>
        </w:rPr>
        <w:t>to all job families at this grade.</w:t>
      </w:r>
      <w:r>
        <w:rPr>
          <w:b/>
          <w:color w:val="03A953"/>
          <w:sz w:val="28"/>
        </w:rPr>
        <w:t xml:space="preserve"> </w:t>
      </w:r>
    </w:p>
    <w:tbl>
      <w:tblPr>
        <w:tblStyle w:val="TableGrid"/>
        <w:tblW w:w="10196" w:type="dxa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21"/>
        <w:gridCol w:w="507"/>
        <w:gridCol w:w="4498"/>
      </w:tblGrid>
      <w:tr w:rsidR="003C29A4" w14:paraId="5609242A" w14:textId="77777777">
        <w:trPr>
          <w:trHeight w:val="36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92D2" w14:textId="77777777" w:rsidR="003C29A4" w:rsidRDefault="000D277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Roles at grade 2:</w:t>
            </w:r>
            <w:r>
              <w:t xml:space="preserve">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13DB5" w14:textId="77777777" w:rsidR="003C29A4" w:rsidRDefault="000D2778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>Roles at grade 4:</w:t>
            </w:r>
            <w:r>
              <w:t xml:space="preserve"> </w:t>
            </w:r>
          </w:p>
        </w:tc>
      </w:tr>
      <w:tr w:rsidR="003C29A4" w14:paraId="0DF1BA4D" w14:textId="77777777">
        <w:trPr>
          <w:trHeight w:val="28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7BD502D" w14:textId="77777777" w:rsidR="003C29A4" w:rsidRDefault="000D2778">
            <w:pPr>
              <w:spacing w:after="302" w:line="396" w:lineRule="auto"/>
              <w:ind w:left="110" w:right="96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74B99DEB" w14:textId="77777777" w:rsidR="003C29A4" w:rsidRDefault="000D2778">
            <w:pPr>
              <w:spacing w:after="0" w:line="259" w:lineRule="auto"/>
              <w:ind w:left="111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FEC3CD5" w14:textId="77777777" w:rsidR="003C29A4" w:rsidRDefault="000D2778">
            <w:pPr>
              <w:spacing w:after="165" w:line="259" w:lineRule="auto"/>
              <w:ind w:left="0" w:firstLine="0"/>
              <w:jc w:val="left"/>
            </w:pPr>
            <w:r>
              <w:t xml:space="preserve">Compile and collate information. </w:t>
            </w:r>
          </w:p>
          <w:p w14:paraId="74E65F9D" w14:textId="77777777" w:rsidR="003C29A4" w:rsidRDefault="000D2778">
            <w:pPr>
              <w:spacing w:after="137" w:line="286" w:lineRule="auto"/>
              <w:ind w:left="0" w:firstLine="0"/>
              <w:jc w:val="left"/>
            </w:pPr>
            <w:r>
              <w:t xml:space="preserve">Carry out standardised work governed by routine procedures. </w:t>
            </w:r>
          </w:p>
          <w:p w14:paraId="44EEF8A1" w14:textId="77777777" w:rsidR="003C29A4" w:rsidRDefault="000D2778">
            <w:pPr>
              <w:spacing w:after="0" w:line="259" w:lineRule="auto"/>
              <w:ind w:left="0" w:right="59" w:firstLine="0"/>
              <w:jc w:val="left"/>
            </w:pPr>
            <w:r>
              <w:t xml:space="preserve">Usually select appropriate solution from a range of choices.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163A" w14:textId="77777777" w:rsidR="003C29A4" w:rsidRDefault="000D2778">
            <w:pPr>
              <w:spacing w:after="470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09F26B77" w14:textId="77777777" w:rsidR="003C29A4" w:rsidRDefault="000D2778">
            <w:pPr>
              <w:spacing w:after="470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34117724" w14:textId="77777777" w:rsidR="003C29A4" w:rsidRDefault="000D2778">
            <w:pPr>
              <w:spacing w:after="745" w:line="259" w:lineRule="auto"/>
              <w:ind w:left="14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x</w:t>
            </w:r>
            <w:r>
              <w:t xml:space="preserve"> </w:t>
            </w:r>
          </w:p>
          <w:p w14:paraId="1D1481C9" w14:textId="77777777" w:rsidR="003C29A4" w:rsidRDefault="000D2778">
            <w:pPr>
              <w:spacing w:after="0" w:line="259" w:lineRule="auto"/>
              <w:ind w:left="37" w:firstLine="0"/>
              <w:jc w:val="left"/>
            </w:pPr>
            <w: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6C3D077" w14:textId="77777777" w:rsidR="003C29A4" w:rsidRDefault="000D2778">
            <w:pPr>
              <w:spacing w:after="132" w:line="288" w:lineRule="auto"/>
              <w:ind w:left="0" w:firstLine="0"/>
            </w:pPr>
            <w:r>
              <w:t xml:space="preserve">Identify issues and use judgement to develop suitable solutions or new ways of working. </w:t>
            </w:r>
          </w:p>
          <w:p w14:paraId="112133E9" w14:textId="77777777" w:rsidR="003C29A4" w:rsidRDefault="000D2778">
            <w:pPr>
              <w:spacing w:after="132" w:line="288" w:lineRule="auto"/>
              <w:ind w:left="0" w:firstLine="0"/>
              <w:jc w:val="left"/>
            </w:pPr>
            <w:r>
              <w:t xml:space="preserve">Carry out advanced analyses on large and complex data sets.  </w:t>
            </w:r>
          </w:p>
          <w:p w14:paraId="41D11A7B" w14:textId="77777777" w:rsidR="003C29A4" w:rsidRDefault="000D2778">
            <w:pPr>
              <w:spacing w:after="0" w:line="259" w:lineRule="auto"/>
              <w:ind w:left="0" w:firstLine="0"/>
              <w:jc w:val="left"/>
            </w:pPr>
            <w:r>
              <w:t xml:space="preserve">Require some background knowledge usually associated with practical experience or specialised training. </w:t>
            </w:r>
          </w:p>
        </w:tc>
      </w:tr>
    </w:tbl>
    <w:p w14:paraId="0D84D8BE" w14:textId="77777777" w:rsidR="003C29A4" w:rsidRDefault="000D2778">
      <w:pPr>
        <w:spacing w:after="0" w:line="259" w:lineRule="auto"/>
        <w:ind w:left="0" w:firstLine="0"/>
        <w:jc w:val="left"/>
      </w:pPr>
      <w:r>
        <w:t xml:space="preserve"> </w:t>
      </w:r>
    </w:p>
    <w:sectPr w:rsidR="003C29A4">
      <w:headerReference w:type="even" r:id="rId6"/>
      <w:headerReference w:type="default" r:id="rId7"/>
      <w:headerReference w:type="first" r:id="rId8"/>
      <w:pgSz w:w="11900" w:h="16840"/>
      <w:pgMar w:top="2468" w:right="712" w:bottom="1250" w:left="720" w:header="7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DEDF" w14:textId="77777777" w:rsidR="00000000" w:rsidRDefault="000D2778">
      <w:pPr>
        <w:spacing w:after="0" w:line="240" w:lineRule="auto"/>
      </w:pPr>
      <w:r>
        <w:separator/>
      </w:r>
    </w:p>
  </w:endnote>
  <w:endnote w:type="continuationSeparator" w:id="0">
    <w:p w14:paraId="71F1714D" w14:textId="77777777" w:rsidR="00000000" w:rsidRDefault="000D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B06A" w14:textId="77777777" w:rsidR="00000000" w:rsidRDefault="000D2778">
      <w:pPr>
        <w:spacing w:after="0" w:line="240" w:lineRule="auto"/>
      </w:pPr>
      <w:r>
        <w:separator/>
      </w:r>
    </w:p>
  </w:footnote>
  <w:footnote w:type="continuationSeparator" w:id="0">
    <w:p w14:paraId="5496F9FD" w14:textId="77777777" w:rsidR="00000000" w:rsidRDefault="000D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3C29A4" w14:paraId="7BA9F533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CCBF2DB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573086A3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  <w:tr w:rsidR="003C29A4" w14:paraId="31149548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4230AB80" w14:textId="77777777" w:rsidR="003C29A4" w:rsidRDefault="003C29A4">
          <w:pPr>
            <w:spacing w:after="160" w:line="259" w:lineRule="auto"/>
            <w:ind w:left="0" w:firstLine="0"/>
            <w:jc w:val="left"/>
          </w:pP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60301EA5" w14:textId="77777777" w:rsidR="003C29A4" w:rsidRDefault="003C29A4">
          <w:pPr>
            <w:spacing w:after="160" w:line="259" w:lineRule="auto"/>
            <w:ind w:left="0" w:firstLine="0"/>
            <w:jc w:val="left"/>
          </w:pPr>
        </w:p>
      </w:tc>
    </w:tr>
  </w:tbl>
  <w:p w14:paraId="7DAFAFDD" w14:textId="77777777" w:rsidR="003C29A4" w:rsidRDefault="000D2778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69E49E" wp14:editId="0D74497C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57FAA0C7" w14:textId="77777777" w:rsidR="003C29A4" w:rsidRDefault="000D27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33C37C" wp14:editId="79DF30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80" name="Group 4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3C29A4" w14:paraId="316CE577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4C9FF366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2F497DD3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</w:tbl>
  <w:p w14:paraId="39ABC997" w14:textId="77777777" w:rsidR="003C29A4" w:rsidRDefault="000D2778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25B6BBD" wp14:editId="0840F420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234" name="Picture 2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0E618B03" w14:textId="77777777" w:rsidR="003C29A4" w:rsidRDefault="000D27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E22786" wp14:editId="05131D7C">
              <wp:simplePos x="0" y="0"/>
              <wp:positionH relativeFrom="page">
                <wp:posOffset>457200</wp:posOffset>
              </wp:positionH>
              <wp:positionV relativeFrom="page">
                <wp:posOffset>1543305</wp:posOffset>
              </wp:positionV>
              <wp:extent cx="6646175" cy="152399"/>
              <wp:effectExtent l="0" t="0" r="0" b="0"/>
              <wp:wrapNone/>
              <wp:docPr id="4227" name="Group 4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75" cy="152399"/>
                        <a:chOff x="0" y="0"/>
                        <a:chExt cx="6646175" cy="152399"/>
                      </a:xfrm>
                    </wpg:grpSpPr>
                    <wps:wsp>
                      <wps:cNvPr id="4479" name="Shape 4479"/>
                      <wps:cNvSpPr/>
                      <wps:spPr>
                        <a:xfrm>
                          <a:off x="0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0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6097" y="146302"/>
                          <a:ext cx="32888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805" h="9144">
                              <a:moveTo>
                                <a:pt x="0" y="0"/>
                              </a:moveTo>
                              <a:lnTo>
                                <a:pt x="3288805" y="0"/>
                              </a:lnTo>
                              <a:lnTo>
                                <a:pt x="32888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3294888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3294888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3300984" y="146302"/>
                          <a:ext cx="33390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084" h="9144">
                              <a:moveTo>
                                <a:pt x="0" y="0"/>
                              </a:moveTo>
                              <a:lnTo>
                                <a:pt x="3339084" y="0"/>
                              </a:lnTo>
                              <a:lnTo>
                                <a:pt x="33390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6640069" y="0"/>
                          <a:ext cx="914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3"/>
                              </a:lnTo>
                              <a:lnTo>
                                <a:pt x="0" y="146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6" name="Shape 4486"/>
                      <wps:cNvSpPr/>
                      <wps:spPr>
                        <a:xfrm>
                          <a:off x="6640069" y="14630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7" style="width:523.321pt;height:11.9999pt;position:absolute;z-index:-2147483648;mso-position-horizontal-relative:page;mso-position-horizontal:absolute;margin-left:36pt;mso-position-vertical-relative:page;margin-top:121.52pt;" coordsize="66461,1523">
              <v:shape id="Shape 4487" style="position:absolute;width:91;height:1463;left:0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88" style="position:absolute;width:91;height:91;left:0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489" style="position:absolute;width:32888;height:91;left:60;top:1463;" coordsize="3288805,9144" path="m0,0l3288805,0l3288805,9144l0,9144l0,0">
                <v:stroke weight="0pt" endcap="flat" joinstyle="miter" miterlimit="10" on="false" color="#000000" opacity="0"/>
                <v:fill on="true" color="#a5a5a5"/>
              </v:shape>
              <v:shape id="Shape 4490" style="position:absolute;width:91;height:1463;left:32948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91" style="position:absolute;width:91;height:91;left:32948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492" style="position:absolute;width:33390;height:91;left:33009;top:1463;" coordsize="3339084,9144" path="m0,0l3339084,0l3339084,9144l0,9144l0,0">
                <v:stroke weight="0pt" endcap="flat" joinstyle="miter" miterlimit="10" on="false" color="#000000" opacity="0"/>
                <v:fill on="true" color="#a5a5a5"/>
              </v:shape>
              <v:shape id="Shape 4493" style="position:absolute;width:91;height:1463;left:66400;top:0;" coordsize="9144,146303" path="m0,0l9144,0l9144,146303l0,146303l0,0">
                <v:stroke weight="0pt" endcap="flat" joinstyle="miter" miterlimit="10" on="false" color="#000000" opacity="0"/>
                <v:fill on="true" color="#a5a5a5"/>
              </v:shape>
              <v:shape id="Shape 4494" style="position:absolute;width:91;height:91;left:66400;top:1463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3C29A4" w14:paraId="006D35BE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66FEAF1F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Grade :  3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539118B2" w14:textId="77777777" w:rsidR="003C29A4" w:rsidRDefault="000D2778">
          <w:pPr>
            <w:spacing w:after="0" w:line="259" w:lineRule="auto"/>
            <w:ind w:left="0" w:firstLine="0"/>
            <w:jc w:val="left"/>
          </w:pPr>
          <w:r>
            <w:rPr>
              <w:color w:val="808080"/>
              <w:sz w:val="20"/>
            </w:rPr>
            <w:t xml:space="preserve">Profile reference:ER03 </w:t>
          </w:r>
        </w:p>
      </w:tc>
    </w:tr>
    <w:tr w:rsidR="003C29A4" w14:paraId="3F969FEF" w14:textId="77777777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78B35BAA" w14:textId="77777777" w:rsidR="003C29A4" w:rsidRDefault="003C29A4">
          <w:pPr>
            <w:spacing w:after="160" w:line="259" w:lineRule="auto"/>
            <w:ind w:left="0" w:firstLine="0"/>
            <w:jc w:val="left"/>
          </w:pP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3D077F5" w14:textId="77777777" w:rsidR="003C29A4" w:rsidRDefault="003C29A4">
          <w:pPr>
            <w:spacing w:after="160" w:line="259" w:lineRule="auto"/>
            <w:ind w:left="0" w:firstLine="0"/>
            <w:jc w:val="left"/>
          </w:pPr>
        </w:p>
      </w:tc>
    </w:tr>
  </w:tbl>
  <w:p w14:paraId="10827AEE" w14:textId="77777777" w:rsidR="003C29A4" w:rsidRDefault="000D2778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95ED21F" wp14:editId="55AFD251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78B2AD89" w14:textId="77777777" w:rsidR="003C29A4" w:rsidRDefault="000D27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5244C36" wp14:editId="6C8C84D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92" name="Group 4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4"/>
    <w:rsid w:val="000D2778"/>
    <w:rsid w:val="003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6D63"/>
  <w15:docId w15:val="{506FAAAF-81C0-4A5D-8D84-A3AB49C9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9" w:line="29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8CD8B1"/>
      <w:spacing w:after="0"/>
      <w:ind w:left="118" w:hanging="10"/>
      <w:outlineLvl w:val="0"/>
    </w:pPr>
    <w:rPr>
      <w:rFonts w:ascii="Arial" w:eastAsia="Arial" w:hAnsi="Arial" w:cs="Arial"/>
      <w:b/>
      <w:color w:val="03A9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3A95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Priest</dc:creator>
  <cp:keywords/>
  <cp:lastModifiedBy>Joshua Priest</cp:lastModifiedBy>
  <cp:revision>2</cp:revision>
  <dcterms:created xsi:type="dcterms:W3CDTF">2021-04-19T08:18:00Z</dcterms:created>
  <dcterms:modified xsi:type="dcterms:W3CDTF">2021-04-19T08:18:00Z</dcterms:modified>
</cp:coreProperties>
</file>