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A4FBB">
      <w:pPr>
        <w:rPr>
          <w:rFonts w:ascii="Arial" w:hAnsi="Arial" w:cs="Arial"/>
          <w:color w:val="004C84"/>
          <w:sz w:val="44"/>
          <w:szCs w:val="56"/>
        </w:rPr>
      </w:pPr>
      <w:r w:rsidRPr="003A4FBB">
        <w:rPr>
          <w:rFonts w:ascii="Arial" w:hAnsi="Arial" w:cs="Arial"/>
          <w:color w:val="004C84"/>
          <w:sz w:val="72"/>
          <w:szCs w:val="72"/>
        </w:rPr>
        <w:t>Research Scientist - Climate Change Adaptation</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A4FBB" w:rsidRPr="003A4FBB">
                              <w:rPr>
                                <w:rFonts w:ascii="Arial" w:hAnsi="Arial" w:cs="Arial"/>
                                <w:b/>
                                <w:color w:val="FFFFFF" w:themeColor="background1"/>
                                <w:sz w:val="22"/>
                                <w:szCs w:val="22"/>
                              </w:rPr>
                              <w:t>Research Scientist - Climate Change Adaptation</w:t>
                            </w:r>
                          </w:p>
                          <w:p w:rsidR="00D324BE" w:rsidRPr="00D324BE" w:rsidRDefault="003A4FB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A4FBB">
                              <w:rPr>
                                <w:rFonts w:ascii="Arial" w:hAnsi="Arial" w:cs="Arial"/>
                                <w:b/>
                                <w:color w:val="FFFFFF" w:themeColor="background1"/>
                                <w:sz w:val="22"/>
                                <w:szCs w:val="22"/>
                              </w:rPr>
                              <w:t>19</w:t>
                            </w:r>
                            <w:r w:rsidR="003A4FBB" w:rsidRPr="003A4FBB">
                              <w:rPr>
                                <w:rFonts w:ascii="Arial" w:hAnsi="Arial" w:cs="Arial"/>
                                <w:b/>
                                <w:color w:val="FFFFFF" w:themeColor="background1"/>
                                <w:sz w:val="22"/>
                                <w:szCs w:val="22"/>
                                <w:vertAlign w:val="superscript"/>
                              </w:rPr>
                              <w:t>th</w:t>
                            </w:r>
                            <w:r w:rsidR="003A4FBB">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A4FBB">
                              <w:rPr>
                                <w:rFonts w:ascii="Arial" w:hAnsi="Arial" w:cs="Arial"/>
                                <w:b/>
                                <w:color w:val="FFFFFF" w:themeColor="background1"/>
                                <w:sz w:val="22"/>
                                <w:szCs w:val="22"/>
                              </w:rPr>
                              <w:t xml:space="preserve"> 14282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A4FBB" w:rsidRPr="003A4FBB">
                        <w:rPr>
                          <w:rFonts w:ascii="Arial" w:hAnsi="Arial" w:cs="Arial"/>
                          <w:b/>
                          <w:color w:val="FFFFFF" w:themeColor="background1"/>
                          <w:sz w:val="22"/>
                          <w:szCs w:val="22"/>
                        </w:rPr>
                        <w:t>Research Scientist - Climate Change Adaptation</w:t>
                      </w:r>
                    </w:p>
                    <w:p w:rsidR="00D324BE" w:rsidRPr="00D324BE" w:rsidRDefault="003A4FB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A4FBB">
                        <w:rPr>
                          <w:rFonts w:ascii="Arial" w:hAnsi="Arial" w:cs="Arial"/>
                          <w:b/>
                          <w:color w:val="FFFFFF" w:themeColor="background1"/>
                          <w:sz w:val="22"/>
                          <w:szCs w:val="22"/>
                        </w:rPr>
                        <w:t>19</w:t>
                      </w:r>
                      <w:r w:rsidR="003A4FBB" w:rsidRPr="003A4FBB">
                        <w:rPr>
                          <w:rFonts w:ascii="Arial" w:hAnsi="Arial" w:cs="Arial"/>
                          <w:b/>
                          <w:color w:val="FFFFFF" w:themeColor="background1"/>
                          <w:sz w:val="22"/>
                          <w:szCs w:val="22"/>
                          <w:vertAlign w:val="superscript"/>
                        </w:rPr>
                        <w:t>th</w:t>
                      </w:r>
                      <w:r w:rsidR="003A4FBB">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A4FBB">
                        <w:rPr>
                          <w:rFonts w:ascii="Arial" w:hAnsi="Arial" w:cs="Arial"/>
                          <w:b/>
                          <w:color w:val="FFFFFF" w:themeColor="background1"/>
                          <w:sz w:val="22"/>
                          <w:szCs w:val="22"/>
                        </w:rPr>
                        <w:t xml:space="preserve"> 14282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A4FB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A4FB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A4FBB">
        <w:rPr>
          <w:rFonts w:ascii="Arial" w:hAnsi="Arial" w:cs="Arial"/>
          <w:sz w:val="22"/>
          <w:szCs w:val="22"/>
        </w:rPr>
        <w:t>£35,577</w:t>
      </w:r>
      <w:r w:rsidRPr="003A4FB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A4FBB" w:rsidRPr="003A4FBB">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A4FBB">
        <w:rPr>
          <w:rFonts w:ascii="Arial" w:hAnsi="Arial" w:cs="Arial"/>
          <w:sz w:val="22"/>
          <w:szCs w:val="22"/>
        </w:rPr>
        <w:t>37</w:t>
      </w:r>
      <w:r w:rsidRPr="003A4FBB">
        <w:rPr>
          <w:rFonts w:ascii="Arial" w:hAnsi="Arial" w:cs="Arial"/>
          <w:sz w:val="22"/>
          <w:szCs w:val="22"/>
        </w:rPr>
        <w:t xml:space="preserve"> hours FTE, </w:t>
      </w:r>
      <w:r w:rsidR="003A4FBB" w:rsidRPr="003A4FB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3A4FB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3A4FBB" w:rsidRDefault="00DF7984" w:rsidP="00850205">
      <w:pPr>
        <w:shd w:val="clear" w:color="auto" w:fill="FFFFFF"/>
        <w:spacing w:line="276" w:lineRule="auto"/>
        <w:rPr>
          <w:rFonts w:ascii="Arial" w:eastAsia="Times New Roman" w:hAnsi="Arial" w:cs="Arial"/>
          <w:sz w:val="22"/>
          <w:szCs w:val="22"/>
          <w:lang w:val="en" w:eastAsia="en-GB"/>
        </w:rPr>
      </w:pPr>
      <w:r w:rsidRPr="003A4FBB">
        <w:rPr>
          <w:rFonts w:ascii="Arial" w:eastAsia="Times New Roman" w:hAnsi="Arial" w:cs="Arial"/>
          <w:sz w:val="22"/>
          <w:szCs w:val="22"/>
          <w:lang w:val="en" w:eastAsia="en-GB"/>
        </w:rPr>
        <w:t>Our advert describes the da</w:t>
      </w:r>
      <w:r w:rsidR="00920C49" w:rsidRPr="003A4FBB">
        <w:rPr>
          <w:rFonts w:ascii="Arial" w:eastAsia="Times New Roman" w:hAnsi="Arial" w:cs="Arial"/>
          <w:sz w:val="22"/>
          <w:szCs w:val="22"/>
          <w:lang w:val="en" w:eastAsia="en-GB"/>
        </w:rPr>
        <w:t xml:space="preserve">y to day activities of the role, the team it operates within and the </w:t>
      </w:r>
      <w:r w:rsidRPr="003A4FBB">
        <w:rPr>
          <w:rFonts w:ascii="Arial" w:eastAsia="Times New Roman" w:hAnsi="Arial" w:cs="Arial"/>
          <w:sz w:val="22"/>
          <w:szCs w:val="22"/>
          <w:lang w:val="en" w:eastAsia="en-GB"/>
        </w:rPr>
        <w:t>skills</w:t>
      </w:r>
      <w:r w:rsidR="00920C49" w:rsidRPr="003A4FBB">
        <w:rPr>
          <w:rFonts w:ascii="Arial" w:eastAsia="Times New Roman" w:hAnsi="Arial" w:cs="Arial"/>
          <w:sz w:val="22"/>
          <w:szCs w:val="22"/>
          <w:lang w:val="en" w:eastAsia="en-GB"/>
        </w:rPr>
        <w:t>/experience</w:t>
      </w:r>
      <w:r w:rsidRPr="003A4FBB">
        <w:rPr>
          <w:rFonts w:ascii="Arial" w:eastAsia="Times New Roman" w:hAnsi="Arial" w:cs="Arial"/>
          <w:sz w:val="22"/>
          <w:szCs w:val="22"/>
          <w:lang w:val="en" w:eastAsia="en-GB"/>
        </w:rPr>
        <w:t xml:space="preserve"> </w:t>
      </w:r>
      <w:r w:rsidR="00920C49" w:rsidRPr="003A4FBB">
        <w:rPr>
          <w:rFonts w:ascii="Arial" w:eastAsia="Times New Roman" w:hAnsi="Arial" w:cs="Arial"/>
          <w:sz w:val="22"/>
          <w:szCs w:val="22"/>
          <w:lang w:val="en" w:eastAsia="en-GB"/>
        </w:rPr>
        <w:t xml:space="preserve">we’re looking for from applicants.  This information </w:t>
      </w:r>
      <w:r w:rsidRPr="003A4FBB">
        <w:rPr>
          <w:rFonts w:ascii="Arial" w:eastAsia="Times New Roman" w:hAnsi="Arial" w:cs="Arial"/>
          <w:sz w:val="22"/>
          <w:szCs w:val="22"/>
          <w:lang w:val="en" w:eastAsia="en-GB"/>
        </w:rPr>
        <w:t xml:space="preserve">should be read in conjunction with the job family </w:t>
      </w:r>
      <w:r w:rsidR="00920C49" w:rsidRPr="003A4FBB">
        <w:rPr>
          <w:rFonts w:ascii="Arial" w:eastAsia="Times New Roman" w:hAnsi="Arial" w:cs="Arial"/>
          <w:sz w:val="22"/>
          <w:szCs w:val="22"/>
          <w:lang w:val="en" w:eastAsia="en-GB"/>
        </w:rPr>
        <w:t>role profile that we’ve provided.</w:t>
      </w:r>
    </w:p>
    <w:p w:rsidR="00DF7984" w:rsidRPr="003A4FBB" w:rsidRDefault="00DF7984" w:rsidP="00850205">
      <w:pPr>
        <w:shd w:val="clear" w:color="auto" w:fill="FFFFFF"/>
        <w:spacing w:line="276" w:lineRule="auto"/>
        <w:rPr>
          <w:rFonts w:ascii="Arial" w:eastAsia="Times New Roman" w:hAnsi="Arial" w:cs="Arial"/>
          <w:sz w:val="22"/>
          <w:szCs w:val="22"/>
          <w:lang w:val="en" w:eastAsia="en-GB"/>
        </w:rPr>
      </w:pPr>
    </w:p>
    <w:p w:rsidR="007E42E0" w:rsidRPr="003A4FBB" w:rsidRDefault="00920C49" w:rsidP="00850205">
      <w:pPr>
        <w:shd w:val="clear" w:color="auto" w:fill="FFFFFF"/>
        <w:spacing w:line="276" w:lineRule="auto"/>
        <w:rPr>
          <w:rFonts w:ascii="Arial" w:eastAsia="Times New Roman" w:hAnsi="Arial" w:cs="Arial"/>
          <w:sz w:val="22"/>
          <w:szCs w:val="22"/>
          <w:lang w:val="en" w:eastAsia="en-GB"/>
        </w:rPr>
      </w:pPr>
      <w:r w:rsidRPr="003A4FBB">
        <w:rPr>
          <w:rFonts w:ascii="Arial" w:eastAsia="Times New Roman" w:hAnsi="Arial" w:cs="Arial"/>
          <w:sz w:val="22"/>
          <w:szCs w:val="22"/>
          <w:lang w:val="en" w:eastAsia="en-GB"/>
        </w:rPr>
        <w:t>In the Environment Agency, o</w:t>
      </w:r>
      <w:r w:rsidR="007E42E0" w:rsidRPr="003A4FBB">
        <w:rPr>
          <w:rFonts w:ascii="Arial" w:eastAsia="Times New Roman" w:hAnsi="Arial" w:cs="Arial"/>
          <w:sz w:val="22"/>
          <w:szCs w:val="22"/>
          <w:lang w:val="en" w:eastAsia="en-GB"/>
        </w:rPr>
        <w:t>ur roles are grouped by grade and similar characteristics into one of seven job families.</w:t>
      </w:r>
      <w:r w:rsidR="00850205" w:rsidRPr="003A4FBB">
        <w:rPr>
          <w:rFonts w:ascii="Arial" w:eastAsia="Times New Roman" w:hAnsi="Arial" w:cs="Arial"/>
          <w:sz w:val="22"/>
          <w:szCs w:val="22"/>
          <w:lang w:val="en" w:eastAsia="en-GB"/>
        </w:rPr>
        <w:t xml:space="preserve"> </w:t>
      </w:r>
      <w:r w:rsidR="007E42E0" w:rsidRPr="003A4FBB">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3A4FBB" w:rsidRDefault="007E42E0" w:rsidP="00850205">
      <w:pPr>
        <w:shd w:val="clear" w:color="auto" w:fill="FFFFFF"/>
        <w:spacing w:line="276" w:lineRule="auto"/>
        <w:rPr>
          <w:rFonts w:ascii="Arial" w:eastAsia="Times New Roman" w:hAnsi="Arial" w:cs="Arial"/>
          <w:sz w:val="22"/>
          <w:szCs w:val="22"/>
          <w:lang w:val="en" w:eastAsia="en-GB"/>
        </w:rPr>
      </w:pPr>
    </w:p>
    <w:p w:rsidR="00920C49" w:rsidRPr="003A4FBB" w:rsidRDefault="00920C49" w:rsidP="00850205">
      <w:pPr>
        <w:pStyle w:val="PlainText"/>
        <w:spacing w:after="120" w:line="276" w:lineRule="auto"/>
        <w:rPr>
          <w:rFonts w:ascii="Arial" w:eastAsia="Times New Roman" w:hAnsi="Arial" w:cs="Arial"/>
          <w:sz w:val="22"/>
          <w:szCs w:val="22"/>
          <w:lang w:val="en" w:eastAsia="en-GB"/>
        </w:rPr>
      </w:pPr>
      <w:r w:rsidRPr="003A4FBB">
        <w:rPr>
          <w:rFonts w:ascii="Arial" w:eastAsia="Times New Roman" w:hAnsi="Arial" w:cs="Arial"/>
          <w:sz w:val="22"/>
          <w:szCs w:val="22"/>
          <w:lang w:val="en" w:eastAsia="en-GB"/>
        </w:rPr>
        <w:t xml:space="preserve">The role of </w:t>
      </w:r>
      <w:r w:rsidR="003A4FBB" w:rsidRPr="003A4FBB">
        <w:rPr>
          <w:rFonts w:ascii="Arial" w:eastAsia="Times New Roman" w:hAnsi="Arial" w:cs="Arial"/>
          <w:sz w:val="22"/>
          <w:szCs w:val="22"/>
          <w:lang w:val="en" w:eastAsia="en-GB"/>
        </w:rPr>
        <w:t xml:space="preserve">Research Scientist - Climate Change Adaptation </w:t>
      </w:r>
      <w:r w:rsidRPr="003A4FBB">
        <w:rPr>
          <w:rFonts w:ascii="Arial" w:eastAsia="Times New Roman" w:hAnsi="Arial" w:cs="Arial"/>
          <w:sz w:val="22"/>
          <w:szCs w:val="22"/>
          <w:lang w:val="en" w:eastAsia="en-GB"/>
        </w:rPr>
        <w:t xml:space="preserve">fits into our </w:t>
      </w:r>
      <w:r w:rsidR="003A4FBB" w:rsidRPr="003A4FBB">
        <w:rPr>
          <w:rFonts w:ascii="Arial" w:eastAsia="Times New Roman" w:hAnsi="Arial" w:cs="Arial"/>
          <w:sz w:val="22"/>
          <w:szCs w:val="22"/>
          <w:lang w:val="en" w:eastAsia="en-GB"/>
        </w:rPr>
        <w:t xml:space="preserve">Technical &amp; Scientific Services </w:t>
      </w:r>
      <w:r w:rsidRPr="003A4FBB">
        <w:rPr>
          <w:rFonts w:ascii="Arial" w:eastAsia="Times New Roman" w:hAnsi="Arial" w:cs="Arial"/>
          <w:sz w:val="22"/>
          <w:szCs w:val="22"/>
          <w:lang w:val="en" w:eastAsia="en-GB"/>
        </w:rPr>
        <w:t xml:space="preserve">job family at </w:t>
      </w:r>
      <w:r w:rsidR="003A4FBB" w:rsidRPr="003A4FBB">
        <w:rPr>
          <w:rFonts w:ascii="Arial" w:eastAsia="Times New Roman" w:hAnsi="Arial" w:cs="Arial"/>
          <w:sz w:val="22"/>
          <w:szCs w:val="22"/>
          <w:lang w:val="en" w:eastAsia="en-GB"/>
        </w:rPr>
        <w:t>Staff Grade 5.</w:t>
      </w:r>
    </w:p>
    <w:p w:rsidR="007E42E0" w:rsidRPr="003A4FBB" w:rsidRDefault="007E42E0" w:rsidP="00850205">
      <w:pPr>
        <w:shd w:val="clear" w:color="auto" w:fill="FFFFFF"/>
        <w:spacing w:line="276" w:lineRule="auto"/>
        <w:rPr>
          <w:rFonts w:ascii="Arial" w:eastAsia="Times New Roman" w:hAnsi="Arial" w:cs="Arial"/>
          <w:sz w:val="22"/>
          <w:szCs w:val="22"/>
          <w:lang w:val="en" w:eastAsia="en-GB"/>
        </w:rPr>
      </w:pPr>
      <w:r w:rsidRPr="003A4FBB">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A4FBB" w:rsidRPr="003A4FBB" w:rsidRDefault="003A4FBB" w:rsidP="003A4FBB">
      <w:pPr>
        <w:pStyle w:val="PlainText"/>
        <w:spacing w:line="276" w:lineRule="auto"/>
        <w:rPr>
          <w:rFonts w:ascii="Arial" w:hAnsi="Arial" w:cs="Arial"/>
          <w:sz w:val="22"/>
          <w:szCs w:val="22"/>
        </w:rPr>
      </w:pPr>
      <w:r w:rsidRPr="003A4FBB">
        <w:rPr>
          <w:rFonts w:ascii="Arial" w:hAnsi="Arial" w:cs="Arial"/>
          <w:sz w:val="22"/>
          <w:szCs w:val="22"/>
        </w:rPr>
        <w:t>The successful candidate will be based at Horizon House in Bristol, other Environment Agency offices may be considered for the right candidate. However, the work will require frequent travel to other Environment Agency locations.</w:t>
      </w:r>
    </w:p>
    <w:p w:rsidR="003A4FBB" w:rsidRPr="003A4FBB" w:rsidRDefault="003A4FBB" w:rsidP="003A4FBB">
      <w:pPr>
        <w:pStyle w:val="PlainText"/>
        <w:spacing w:line="276" w:lineRule="auto"/>
        <w:rPr>
          <w:rFonts w:ascii="Arial" w:hAnsi="Arial" w:cs="Arial"/>
          <w:sz w:val="22"/>
          <w:szCs w:val="22"/>
        </w:rPr>
      </w:pPr>
    </w:p>
    <w:p w:rsidR="003A4FBB" w:rsidRPr="003A4FBB" w:rsidRDefault="003A4FBB" w:rsidP="003A4FBB">
      <w:pPr>
        <w:pStyle w:val="PlainText"/>
        <w:spacing w:line="276" w:lineRule="auto"/>
        <w:rPr>
          <w:rFonts w:ascii="Arial" w:hAnsi="Arial" w:cs="Arial"/>
          <w:sz w:val="22"/>
          <w:szCs w:val="22"/>
        </w:rPr>
      </w:pPr>
      <w:r w:rsidRPr="003A4FBB">
        <w:rPr>
          <w:rFonts w:ascii="Arial" w:hAnsi="Arial" w:cs="Arial"/>
          <w:sz w:val="22"/>
          <w:szCs w:val="22"/>
        </w:rPr>
        <w:t xml:space="preserve">We are fully committed to having an inclusive workforce to reflect the communities we serve. </w:t>
      </w:r>
    </w:p>
    <w:p w:rsidR="003A4FBB" w:rsidRPr="003A4FBB" w:rsidRDefault="003A4FBB" w:rsidP="003A4FBB">
      <w:pPr>
        <w:pStyle w:val="PlainText"/>
        <w:spacing w:line="276" w:lineRule="auto"/>
        <w:rPr>
          <w:rFonts w:ascii="Arial" w:hAnsi="Arial" w:cs="Arial"/>
          <w:sz w:val="22"/>
          <w:szCs w:val="22"/>
        </w:rPr>
      </w:pPr>
    </w:p>
    <w:p w:rsidR="00E5041C" w:rsidRDefault="003A4FBB" w:rsidP="003A4FBB">
      <w:pPr>
        <w:pStyle w:val="PlainText"/>
        <w:spacing w:line="276" w:lineRule="auto"/>
        <w:rPr>
          <w:rFonts w:ascii="Arial" w:hAnsi="Arial" w:cs="Arial"/>
          <w:sz w:val="22"/>
          <w:szCs w:val="22"/>
        </w:rPr>
      </w:pPr>
      <w:r w:rsidRPr="003A4FBB">
        <w:rPr>
          <w:rFonts w:ascii="Arial" w:hAnsi="Arial" w:cs="Arial"/>
          <w:sz w:val="22"/>
          <w:szCs w:val="22"/>
        </w:rPr>
        <w:t xml:space="preserve">For further details please contact Stuart Allen on Tel: 07887 756579 or by email: </w:t>
      </w:r>
      <w:hyperlink r:id="rId30" w:history="1">
        <w:r w:rsidRPr="00F269BF">
          <w:rPr>
            <w:rStyle w:val="Hyperlink"/>
            <w:rFonts w:ascii="Arial" w:hAnsi="Arial" w:cs="Arial"/>
            <w:sz w:val="22"/>
            <w:szCs w:val="22"/>
          </w:rPr>
          <w:t>stuart.allen@environment-agency.gov.uk</w:t>
        </w:r>
      </w:hyperlink>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bookmarkStart w:id="0" w:name="_GoBack"/>
      <w:bookmarkEnd w:id="0"/>
    </w:p>
    <w:p w:rsidR="003A4FBB" w:rsidRDefault="003A4FBB" w:rsidP="003A4FB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6C82970" wp14:editId="27EA8EA6">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A4FBB" w:rsidRDefault="003A4FBB" w:rsidP="003A4FBB">
      <w:pPr>
        <w:pStyle w:val="PlainText"/>
        <w:spacing w:line="276" w:lineRule="auto"/>
        <w:rPr>
          <w:rFonts w:ascii="Arial" w:hAnsi="Arial" w:cs="Arial"/>
          <w:sz w:val="22"/>
          <w:szCs w:val="22"/>
        </w:rPr>
      </w:pPr>
    </w:p>
    <w:p w:rsidR="003A4FBB" w:rsidRDefault="003A4FBB" w:rsidP="003A4FB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A4FBB">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4FBB"/>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7769F"/>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stuart.allen@environment-agency.gov.uk" TargetMode="External"/><Relationship Id="rId35" Type="http://schemas.openxmlformats.org/officeDocument/2006/relationships/image" Target="media/image130.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E2FF-E4A7-4F58-9F99-213EAB60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2020-02-19T08:21:00Z</dcterms:created>
  <dcterms:modified xsi:type="dcterms:W3CDTF">2020-02-19T08:26:00Z</dcterms:modified>
</cp:coreProperties>
</file>