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6B628A" w:rsidRPr="00302D29" w:rsidRDefault="006B628A" w:rsidP="006B628A">
      <w:pPr>
        <w:spacing w:after="120"/>
        <w:rPr>
          <w:rFonts w:ascii="Arial" w:hAnsi="Arial" w:cs="Arial"/>
          <w:color w:val="004C84"/>
          <w:sz w:val="72"/>
          <w:szCs w:val="56"/>
        </w:rPr>
      </w:pPr>
      <w:r>
        <w:rPr>
          <w:rFonts w:ascii="Arial" w:hAnsi="Arial" w:cs="Arial"/>
          <w:color w:val="0078B4"/>
          <w:sz w:val="72"/>
          <w:szCs w:val="60"/>
        </w:rPr>
        <w:t>Deputy Director, Research</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 xml:space="preserve">Job title: Deputy Director, Research </w:t>
                            </w: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 xml:space="preserve">Job location:  Head Office </w:t>
                            </w: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Date: 06/02/18</w:t>
                            </w:r>
                          </w:p>
                          <w:p w:rsidR="00C15273" w:rsidRPr="00C15273"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Reference</w:t>
                            </w:r>
                            <w:proofErr w:type="gramStart"/>
                            <w:r w:rsidRPr="006B628A">
                              <w:rPr>
                                <w:rFonts w:ascii="Arial" w:hAnsi="Arial" w:cs="Arial"/>
                                <w:b/>
                                <w:color w:val="FFFFFF" w:themeColor="background1"/>
                                <w:sz w:val="22"/>
                                <w:szCs w:val="22"/>
                              </w:rPr>
                              <w:t>:</w:t>
                            </w:r>
                            <w:r>
                              <w:rPr>
                                <w:rFonts w:ascii="Arial" w:hAnsi="Arial" w:cs="Arial"/>
                                <w:b/>
                                <w:color w:val="FFFFFF" w:themeColor="background1"/>
                                <w:sz w:val="22"/>
                                <w:szCs w:val="22"/>
                              </w:rPr>
                              <w:t>EMP104</w:t>
                            </w:r>
                            <w:proofErr w:type="gramEnd"/>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 xml:space="preserve">Job title: Deputy Director, Research </w:t>
                      </w: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 xml:space="preserve">Job location:  Head Office </w:t>
                      </w:r>
                    </w:p>
                    <w:p w:rsidR="006B628A" w:rsidRPr="006B628A"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Date: 06/02/18</w:t>
                      </w:r>
                    </w:p>
                    <w:p w:rsidR="00C15273" w:rsidRPr="00C15273" w:rsidRDefault="006B628A" w:rsidP="006B628A">
                      <w:pPr>
                        <w:ind w:left="1021"/>
                        <w:rPr>
                          <w:rFonts w:ascii="Arial" w:hAnsi="Arial" w:cs="Arial"/>
                          <w:b/>
                          <w:color w:val="FFFFFF" w:themeColor="background1"/>
                          <w:sz w:val="22"/>
                          <w:szCs w:val="22"/>
                        </w:rPr>
                      </w:pPr>
                      <w:r w:rsidRPr="006B628A">
                        <w:rPr>
                          <w:rFonts w:ascii="Arial" w:hAnsi="Arial" w:cs="Arial"/>
                          <w:b/>
                          <w:color w:val="FFFFFF" w:themeColor="background1"/>
                          <w:sz w:val="22"/>
                          <w:szCs w:val="22"/>
                        </w:rPr>
                        <w:t>Reference:</w:t>
                      </w:r>
                      <w:r>
                        <w:rPr>
                          <w:rFonts w:ascii="Arial" w:hAnsi="Arial" w:cs="Arial"/>
                          <w:b/>
                          <w:color w:val="FFFFFF" w:themeColor="background1"/>
                          <w:sz w:val="22"/>
                          <w:szCs w:val="22"/>
                        </w:rPr>
                        <w:t>EMP104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57B8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57B8F"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6B628A" w:rsidRPr="002F0588" w:rsidRDefault="00A241F9" w:rsidP="006B628A">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B628A" w:rsidRPr="000E41BF">
        <w:rPr>
          <w:rFonts w:ascii="Arial" w:hAnsi="Arial" w:cs="Arial"/>
          <w:sz w:val="22"/>
          <w:szCs w:val="22"/>
        </w:rPr>
        <w:t>£60,000 - £</w:t>
      </w:r>
      <w:r w:rsidR="006B628A">
        <w:rPr>
          <w:rFonts w:ascii="Arial" w:hAnsi="Arial" w:cs="Arial"/>
          <w:sz w:val="22"/>
          <w:szCs w:val="22"/>
        </w:rPr>
        <w:t>7</w:t>
      </w:r>
      <w:r w:rsidR="006B628A" w:rsidRPr="000E41BF">
        <w:rPr>
          <w:rFonts w:ascii="Arial" w:hAnsi="Arial" w:cs="Arial"/>
          <w:sz w:val="22"/>
          <w:szCs w:val="22"/>
        </w:rPr>
        <w:t>0,000</w:t>
      </w:r>
    </w:p>
    <w:p w:rsidR="00A241F9" w:rsidRPr="002F0588" w:rsidRDefault="00A241F9" w:rsidP="00A241F9">
      <w:pPr>
        <w:pStyle w:val="PlainText"/>
        <w:spacing w:line="276" w:lineRule="auto"/>
        <w:rPr>
          <w:rFonts w:ascii="Arial" w:hAnsi="Arial" w:cs="Arial"/>
          <w:sz w:val="22"/>
          <w:szCs w:val="22"/>
        </w:rPr>
      </w:pPr>
    </w:p>
    <w:p w:rsidR="006B628A" w:rsidRPr="002F0588" w:rsidRDefault="00A241F9" w:rsidP="006B628A">
      <w:pPr>
        <w:ind w:left="2880" w:hanging="2880"/>
        <w:rPr>
          <w:rFonts w:ascii="Arial" w:hAnsi="Arial" w:cs="Arial"/>
          <w:sz w:val="22"/>
          <w:szCs w:val="22"/>
        </w:rPr>
      </w:pPr>
      <w:r w:rsidRPr="002F0588">
        <w:rPr>
          <w:rFonts w:ascii="Arial" w:hAnsi="Arial" w:cs="Arial"/>
          <w:b/>
          <w:color w:val="004C84"/>
          <w:sz w:val="22"/>
          <w:szCs w:val="22"/>
        </w:rPr>
        <w:t>Location:</w:t>
      </w:r>
      <w:r w:rsidR="000E35C5">
        <w:rPr>
          <w:rFonts w:ascii="Arial" w:hAnsi="Arial" w:cs="Arial"/>
          <w:sz w:val="22"/>
          <w:szCs w:val="22"/>
        </w:rPr>
        <w:t xml:space="preserve"> </w:t>
      </w:r>
      <w:r w:rsidR="000E35C5">
        <w:rPr>
          <w:rFonts w:ascii="Arial" w:hAnsi="Arial" w:cs="Arial"/>
          <w:sz w:val="22"/>
          <w:szCs w:val="22"/>
        </w:rPr>
        <w:tab/>
      </w:r>
      <w:r w:rsidR="006B628A">
        <w:rPr>
          <w:rFonts w:ascii="Arial" w:hAnsi="Arial" w:cs="Arial"/>
          <w:sz w:val="22"/>
          <w:szCs w:val="22"/>
        </w:rPr>
        <w:t>Bristol</w:t>
      </w:r>
    </w:p>
    <w:p w:rsidR="00A241F9" w:rsidRPr="002F0588" w:rsidRDefault="00A241F9" w:rsidP="00A241F9">
      <w:pPr>
        <w:pStyle w:val="PlainText"/>
        <w:spacing w:line="276" w:lineRule="auto"/>
        <w:rPr>
          <w:rFonts w:ascii="Arial" w:hAnsi="Arial" w:cs="Arial"/>
          <w:sz w:val="22"/>
          <w:szCs w:val="22"/>
        </w:rPr>
      </w:pPr>
    </w:p>
    <w:p w:rsidR="00A241F9" w:rsidRPr="000E35C5"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628A" w:rsidRPr="000E35C5">
        <w:rPr>
          <w:rFonts w:ascii="Arial" w:hAnsi="Arial" w:cs="Arial"/>
          <w:sz w:val="22"/>
          <w:szCs w:val="22"/>
        </w:rPr>
        <w:t>37</w:t>
      </w:r>
      <w:r w:rsidR="000E35C5" w:rsidRPr="000E35C5">
        <w:rPr>
          <w:rFonts w:ascii="Arial" w:hAnsi="Arial" w:cs="Arial"/>
          <w:sz w:val="22"/>
          <w:szCs w:val="22"/>
        </w:rPr>
        <w:t xml:space="preserve"> hours FTE, permanent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6B628A">
        <w:rPr>
          <w:rFonts w:ascii="Arial" w:hAnsi="Arial" w:cs="Arial"/>
          <w:sz w:val="22"/>
          <w:szCs w:val="22"/>
        </w:rPr>
        <w:t xml:space="preserve">be </w:t>
      </w:r>
      <w:r w:rsidR="006B628A" w:rsidRPr="006B628A">
        <w:rPr>
          <w:rFonts w:ascii="Arial" w:hAnsi="Arial" w:cs="Arial"/>
          <w:sz w:val="22"/>
          <w:szCs w:val="22"/>
        </w:rPr>
        <w:t>27</w:t>
      </w:r>
      <w:r w:rsidRPr="006B628A">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6B628A" w:rsidRDefault="006B628A" w:rsidP="006B628A">
      <w:pPr>
        <w:rPr>
          <w:rFonts w:ascii="Arial" w:hAnsi="Arial" w:cs="Arial"/>
          <w:sz w:val="22"/>
          <w:szCs w:val="22"/>
        </w:rPr>
      </w:pPr>
      <w:r>
        <w:rPr>
          <w:rFonts w:ascii="Arial" w:hAnsi="Arial" w:cs="Arial"/>
          <w:sz w:val="22"/>
          <w:szCs w:val="22"/>
        </w:rPr>
        <w:t>The Deputy Director</w:t>
      </w:r>
      <w:r w:rsidRPr="001F1C0B">
        <w:rPr>
          <w:rFonts w:ascii="Arial" w:hAnsi="Arial" w:cs="Arial"/>
          <w:sz w:val="22"/>
          <w:szCs w:val="22"/>
        </w:rPr>
        <w:t xml:space="preserve"> is responsible for leading the </w:t>
      </w:r>
      <w:r>
        <w:rPr>
          <w:rFonts w:ascii="Arial" w:hAnsi="Arial" w:cs="Arial"/>
          <w:sz w:val="22"/>
          <w:szCs w:val="22"/>
        </w:rPr>
        <w:t xml:space="preserve">strategic direction of the Research teams. </w:t>
      </w:r>
      <w:r w:rsidRPr="00AF6127">
        <w:rPr>
          <w:rFonts w:ascii="Arial" w:hAnsi="Arial" w:cs="Arial"/>
          <w:sz w:val="22"/>
          <w:szCs w:val="22"/>
        </w:rPr>
        <w:t>An exciting opportunity has arisen in Environment an</w:t>
      </w:r>
      <w:r>
        <w:rPr>
          <w:rFonts w:ascii="Arial" w:hAnsi="Arial" w:cs="Arial"/>
          <w:sz w:val="22"/>
          <w:szCs w:val="22"/>
        </w:rPr>
        <w:t>d Business to lead these teams.</w:t>
      </w:r>
    </w:p>
    <w:p w:rsidR="006B628A" w:rsidRDefault="006B628A" w:rsidP="006B628A">
      <w:pPr>
        <w:rPr>
          <w:rFonts w:ascii="Arial" w:hAnsi="Arial" w:cs="Arial"/>
          <w:sz w:val="22"/>
          <w:szCs w:val="22"/>
        </w:rPr>
      </w:pPr>
    </w:p>
    <w:p w:rsidR="006B628A" w:rsidRDefault="006B628A" w:rsidP="006B628A">
      <w:pPr>
        <w:rPr>
          <w:rFonts w:ascii="Arial" w:hAnsi="Arial" w:cs="Arial"/>
          <w:sz w:val="22"/>
          <w:szCs w:val="22"/>
        </w:rPr>
      </w:pPr>
      <w:r>
        <w:rPr>
          <w:rFonts w:ascii="Arial" w:hAnsi="Arial" w:cs="Arial"/>
          <w:sz w:val="22"/>
          <w:szCs w:val="22"/>
        </w:rPr>
        <w:t xml:space="preserve">You will front </w:t>
      </w:r>
      <w:r w:rsidRPr="001F1C0B">
        <w:rPr>
          <w:rFonts w:ascii="Arial" w:hAnsi="Arial" w:cs="Arial"/>
          <w:sz w:val="22"/>
          <w:szCs w:val="22"/>
        </w:rPr>
        <w:t xml:space="preserve">scientific research and development, </w:t>
      </w:r>
      <w:r>
        <w:rPr>
          <w:rFonts w:ascii="Arial" w:hAnsi="Arial" w:cs="Arial"/>
          <w:sz w:val="22"/>
          <w:szCs w:val="22"/>
        </w:rPr>
        <w:t xml:space="preserve">provide </w:t>
      </w:r>
      <w:r w:rsidRPr="001F1C0B">
        <w:rPr>
          <w:rFonts w:ascii="Arial" w:hAnsi="Arial" w:cs="Arial"/>
          <w:sz w:val="22"/>
          <w:szCs w:val="22"/>
        </w:rPr>
        <w:t>professional science advice and standards,</w:t>
      </w:r>
      <w:r>
        <w:rPr>
          <w:rFonts w:ascii="Arial" w:hAnsi="Arial" w:cs="Arial"/>
          <w:sz w:val="22"/>
          <w:szCs w:val="22"/>
        </w:rPr>
        <w:t xml:space="preserve"> as well as manage</w:t>
      </w:r>
      <w:r w:rsidRPr="001F1C0B">
        <w:rPr>
          <w:rFonts w:ascii="Arial" w:hAnsi="Arial" w:cs="Arial"/>
          <w:sz w:val="22"/>
          <w:szCs w:val="22"/>
        </w:rPr>
        <w:t xml:space="preserve"> relationships with th</w:t>
      </w:r>
      <w:r>
        <w:rPr>
          <w:rFonts w:ascii="Arial" w:hAnsi="Arial" w:cs="Arial"/>
          <w:sz w:val="22"/>
          <w:szCs w:val="22"/>
        </w:rPr>
        <w:t>e science community, drive</w:t>
      </w:r>
      <w:r w:rsidRPr="001F1C0B">
        <w:rPr>
          <w:rFonts w:ascii="Arial" w:hAnsi="Arial" w:cs="Arial"/>
          <w:sz w:val="22"/>
          <w:szCs w:val="22"/>
        </w:rPr>
        <w:t xml:space="preserve"> technological innovation to impr</w:t>
      </w:r>
      <w:r>
        <w:rPr>
          <w:rFonts w:ascii="Arial" w:hAnsi="Arial" w:cs="Arial"/>
          <w:sz w:val="22"/>
          <w:szCs w:val="22"/>
        </w:rPr>
        <w:t>ove the quality of the evidence. In addition, you will play</w:t>
      </w:r>
      <w:r w:rsidRPr="00AF6127">
        <w:rPr>
          <w:rFonts w:ascii="Arial" w:hAnsi="Arial" w:cs="Arial"/>
          <w:sz w:val="22"/>
          <w:szCs w:val="22"/>
        </w:rPr>
        <w:t xml:space="preserve"> yo</w:t>
      </w:r>
      <w:r>
        <w:rPr>
          <w:rFonts w:ascii="Arial" w:hAnsi="Arial" w:cs="Arial"/>
          <w:sz w:val="22"/>
          <w:szCs w:val="22"/>
        </w:rPr>
        <w:t>ur part in the wider</w:t>
      </w:r>
      <w:r w:rsidRPr="00AF6127">
        <w:rPr>
          <w:rFonts w:ascii="Arial" w:hAnsi="Arial" w:cs="Arial"/>
          <w:sz w:val="22"/>
          <w:szCs w:val="22"/>
        </w:rPr>
        <w:t xml:space="preserve"> leadership team as a whole. </w:t>
      </w:r>
    </w:p>
    <w:p w:rsidR="006B628A" w:rsidRDefault="006B628A" w:rsidP="006B628A">
      <w:pPr>
        <w:rPr>
          <w:rFonts w:ascii="Arial" w:hAnsi="Arial" w:cs="Arial"/>
          <w:sz w:val="22"/>
          <w:szCs w:val="22"/>
        </w:rPr>
      </w:pPr>
    </w:p>
    <w:p w:rsidR="006B628A" w:rsidRDefault="006B628A" w:rsidP="006B628A">
      <w:pPr>
        <w:rPr>
          <w:rFonts w:ascii="Arial" w:hAnsi="Arial" w:cs="Arial"/>
          <w:sz w:val="22"/>
          <w:szCs w:val="22"/>
        </w:rPr>
      </w:pPr>
      <w:r>
        <w:rPr>
          <w:rFonts w:ascii="Arial" w:hAnsi="Arial" w:cs="Arial"/>
          <w:sz w:val="22"/>
          <w:szCs w:val="22"/>
        </w:rPr>
        <w:t>The main role of the Deputy</w:t>
      </w:r>
      <w:r w:rsidRPr="001F1C0B">
        <w:rPr>
          <w:rFonts w:ascii="Arial" w:hAnsi="Arial" w:cs="Arial"/>
          <w:sz w:val="22"/>
          <w:szCs w:val="22"/>
        </w:rPr>
        <w:t xml:space="preserve"> Director is to lead a large number of people. You w</w:t>
      </w:r>
      <w:r>
        <w:rPr>
          <w:rFonts w:ascii="Arial" w:hAnsi="Arial" w:cs="Arial"/>
          <w:sz w:val="22"/>
          <w:szCs w:val="22"/>
        </w:rPr>
        <w:t>ill be accountable for your teams</w:t>
      </w:r>
      <w:r w:rsidRPr="001F1C0B">
        <w:rPr>
          <w:rFonts w:ascii="Arial" w:hAnsi="Arial" w:cs="Arial"/>
          <w:sz w:val="22"/>
          <w:szCs w:val="22"/>
        </w:rPr>
        <w:t xml:space="preserve"> and provide clarity of purpose to the people you lead. You will invest time in developing your people and act as a ‘role model’ for others. You will manage the bu</w:t>
      </w:r>
      <w:r>
        <w:rPr>
          <w:rFonts w:ascii="Arial" w:hAnsi="Arial" w:cs="Arial"/>
          <w:sz w:val="22"/>
          <w:szCs w:val="22"/>
        </w:rPr>
        <w:t>siness and delivery for the function</w:t>
      </w:r>
      <w:r w:rsidRPr="001F1C0B">
        <w:rPr>
          <w:rFonts w:ascii="Arial" w:hAnsi="Arial" w:cs="Arial"/>
          <w:sz w:val="22"/>
          <w:szCs w:val="22"/>
        </w:rPr>
        <w:t xml:space="preserve"> by managing the dependencies between money, people and outcomes. </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Lead, plan and monitor the strategic direction of Research in order to support the delivery of the corporate strategy and environmental outcomes.</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Lead, develop and embed a culture of effective change management and the ways of working to adapt to, optimise and support the changing needs of research customers and exploring new ways of delivering our research needs through others.</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Originate, champion and lead on initiatives for change within to deliver efficient systems, the right scientific expertise and a culture of continuous improvement in business delivery.</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Identify and manage risks to delivery of the business plan to enable the Environment Agency to operate in a safe, innovative and efficient manner.</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Lead, develop and motivate research teams to deliver results on time, to required quality standards and cost, to fulfil the business plan and achieve environmental outcomes.</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Plan, monitor, control and realign research resources to maximise their efficient and effective use and ensure objectives are completed to required standards.</w:t>
      </w:r>
    </w:p>
    <w:p w:rsidR="006B628A" w:rsidRPr="00683B0E" w:rsidRDefault="006B628A" w:rsidP="006B628A">
      <w:pPr>
        <w:pStyle w:val="ListParagraph"/>
        <w:numPr>
          <w:ilvl w:val="0"/>
          <w:numId w:val="11"/>
        </w:numPr>
        <w:rPr>
          <w:rFonts w:ascii="Arial" w:hAnsi="Arial" w:cs="Arial"/>
          <w:sz w:val="22"/>
          <w:szCs w:val="22"/>
        </w:rPr>
      </w:pPr>
      <w:r w:rsidRPr="00683B0E">
        <w:rPr>
          <w:rFonts w:ascii="Arial" w:hAnsi="Arial" w:cs="Arial"/>
          <w:sz w:val="22"/>
          <w:szCs w:val="22"/>
        </w:rPr>
        <w:t>Influence external science programmes to optimise the benefits for the environment and the delivery of the Corporate Strategy.</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0E35C5">
      <w:pPr>
        <w:pStyle w:val="PlainText"/>
        <w:spacing w:line="276" w:lineRule="auto"/>
        <w:rPr>
          <w:rFonts w:ascii="Arial" w:hAnsi="Arial" w:cs="Arial"/>
          <w:color w:val="004C84"/>
          <w:sz w:val="60"/>
          <w:szCs w:val="60"/>
        </w:rPr>
      </w:pPr>
    </w:p>
    <w:p w:rsidR="00A241F9" w:rsidRDefault="00A241F9" w:rsidP="000E35C5">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0E35C5" w:rsidRDefault="000E35C5" w:rsidP="000E35C5">
      <w:pPr>
        <w:pStyle w:val="PlainText"/>
        <w:spacing w:after="120" w:line="276" w:lineRule="auto"/>
        <w:rPr>
          <w:rFonts w:ascii="Arial" w:hAnsi="Arial" w:cs="Arial"/>
          <w:b/>
          <w:color w:val="004C84"/>
          <w:sz w:val="28"/>
          <w:szCs w:val="28"/>
        </w:rPr>
      </w:pPr>
      <w:r w:rsidRPr="002F0588">
        <w:rPr>
          <w:rFonts w:ascii="Arial" w:hAnsi="Arial" w:cs="Arial"/>
          <w:b/>
          <w:color w:val="004C84"/>
          <w:sz w:val="28"/>
          <w:szCs w:val="28"/>
        </w:rPr>
        <w:t>Knowledge/Qualifications</w:t>
      </w:r>
    </w:p>
    <w:p w:rsidR="000E35C5" w:rsidRPr="00683B0E" w:rsidRDefault="000E35C5" w:rsidP="000E35C5">
      <w:pPr>
        <w:rPr>
          <w:rFonts w:ascii="Arial" w:hAnsi="Arial" w:cs="Arial"/>
          <w:sz w:val="22"/>
          <w:szCs w:val="22"/>
        </w:rPr>
      </w:pPr>
      <w:r w:rsidRPr="00683B0E">
        <w:rPr>
          <w:rFonts w:ascii="Arial" w:hAnsi="Arial" w:cs="Arial"/>
          <w:sz w:val="22"/>
          <w:szCs w:val="22"/>
        </w:rPr>
        <w:t>Doctorate (external credibility) in a science related subject or professional standing at an equivalent level</w:t>
      </w:r>
      <w:r>
        <w:rPr>
          <w:rFonts w:ascii="Arial" w:hAnsi="Arial" w:cs="Arial"/>
          <w:sz w:val="22"/>
          <w:szCs w:val="22"/>
        </w:rPr>
        <w:t xml:space="preserve"> will be essential. </w:t>
      </w:r>
    </w:p>
    <w:p w:rsidR="000E35C5" w:rsidRDefault="000E35C5" w:rsidP="000E35C5">
      <w:pPr>
        <w:rPr>
          <w:rFonts w:ascii="Arial" w:hAnsi="Arial" w:cs="Arial"/>
          <w:sz w:val="22"/>
          <w:szCs w:val="22"/>
        </w:rPr>
      </w:pPr>
    </w:p>
    <w:p w:rsidR="000E35C5" w:rsidRDefault="000E35C5" w:rsidP="000E35C5">
      <w:pPr>
        <w:rPr>
          <w:rFonts w:ascii="Arial" w:hAnsi="Arial" w:cs="Arial"/>
          <w:sz w:val="22"/>
          <w:szCs w:val="22"/>
        </w:rPr>
      </w:pPr>
      <w:r>
        <w:rPr>
          <w:rFonts w:ascii="Arial" w:hAnsi="Arial" w:cs="Arial"/>
          <w:sz w:val="22"/>
          <w:szCs w:val="22"/>
        </w:rPr>
        <w:t>The candidate is l</w:t>
      </w:r>
      <w:r w:rsidRPr="00683B0E">
        <w:rPr>
          <w:rFonts w:ascii="Arial" w:hAnsi="Arial" w:cs="Arial"/>
          <w:sz w:val="22"/>
          <w:szCs w:val="22"/>
        </w:rPr>
        <w:t>ikely to have a professionally qualified background in a science related area/discipline.</w:t>
      </w:r>
    </w:p>
    <w:p w:rsidR="000E35C5" w:rsidRPr="002F0588" w:rsidRDefault="000E35C5" w:rsidP="000E35C5">
      <w:pPr>
        <w:pStyle w:val="PlainText"/>
        <w:spacing w:line="276" w:lineRule="auto"/>
        <w:rPr>
          <w:rFonts w:ascii="Arial" w:hAnsi="Arial" w:cs="Arial"/>
          <w:sz w:val="22"/>
          <w:szCs w:val="22"/>
        </w:rPr>
      </w:pPr>
    </w:p>
    <w:p w:rsidR="000E35C5" w:rsidRPr="002F0588" w:rsidRDefault="000E35C5" w:rsidP="000E35C5">
      <w:pPr>
        <w:pStyle w:val="PlainText"/>
        <w:spacing w:after="120" w:line="276" w:lineRule="auto"/>
        <w:rPr>
          <w:rFonts w:ascii="Arial" w:hAnsi="Arial" w:cs="Arial"/>
          <w:b/>
          <w:color w:val="004C84"/>
          <w:sz w:val="28"/>
          <w:szCs w:val="28"/>
        </w:rPr>
      </w:pPr>
      <w:r w:rsidRPr="002F0588">
        <w:rPr>
          <w:rFonts w:ascii="Arial" w:hAnsi="Arial" w:cs="Arial"/>
          <w:b/>
          <w:color w:val="004C84"/>
          <w:sz w:val="28"/>
          <w:szCs w:val="28"/>
        </w:rPr>
        <w:t>Skills/Abilities/Experience</w:t>
      </w:r>
    </w:p>
    <w:p w:rsidR="000E35C5" w:rsidRPr="00683B0E" w:rsidRDefault="000E35C5" w:rsidP="000E35C5">
      <w:pPr>
        <w:rPr>
          <w:rFonts w:ascii="Arial" w:hAnsi="Arial" w:cs="Arial"/>
          <w:sz w:val="22"/>
          <w:szCs w:val="22"/>
        </w:rPr>
      </w:pPr>
      <w:r w:rsidRPr="00683B0E">
        <w:rPr>
          <w:rFonts w:ascii="Arial" w:hAnsi="Arial" w:cs="Arial"/>
          <w:sz w:val="22"/>
          <w:szCs w:val="22"/>
        </w:rPr>
        <w:t>Proven experience of leadership in a technical or scientific environment, delegating management through executive manager direct reports and managing significant budgets.</w:t>
      </w:r>
    </w:p>
    <w:p w:rsidR="000E35C5" w:rsidRPr="00683B0E" w:rsidRDefault="000E35C5" w:rsidP="000E35C5">
      <w:pPr>
        <w:rPr>
          <w:rFonts w:ascii="Arial" w:hAnsi="Arial" w:cs="Arial"/>
          <w:sz w:val="22"/>
          <w:szCs w:val="22"/>
        </w:rPr>
      </w:pPr>
    </w:p>
    <w:p w:rsidR="000E35C5" w:rsidRPr="00683B0E" w:rsidRDefault="000E35C5" w:rsidP="000E35C5">
      <w:pPr>
        <w:rPr>
          <w:rFonts w:ascii="Arial" w:hAnsi="Arial" w:cs="Arial"/>
          <w:sz w:val="22"/>
          <w:szCs w:val="22"/>
        </w:rPr>
      </w:pPr>
      <w:r w:rsidRPr="00683B0E">
        <w:rPr>
          <w:rFonts w:ascii="Arial" w:hAnsi="Arial" w:cs="Arial"/>
          <w:sz w:val="22"/>
          <w:szCs w:val="22"/>
        </w:rPr>
        <w:t>The ability to understand scientific based information to enable decision making.</w:t>
      </w:r>
    </w:p>
    <w:p w:rsidR="000E35C5" w:rsidRPr="00683B0E" w:rsidRDefault="000E35C5" w:rsidP="000E35C5">
      <w:pPr>
        <w:rPr>
          <w:rFonts w:ascii="Arial" w:hAnsi="Arial" w:cs="Arial"/>
          <w:sz w:val="22"/>
          <w:szCs w:val="22"/>
        </w:rPr>
      </w:pPr>
    </w:p>
    <w:p w:rsidR="000E35C5" w:rsidRPr="00683B0E" w:rsidRDefault="000E35C5" w:rsidP="000E35C5">
      <w:pPr>
        <w:rPr>
          <w:rFonts w:ascii="Arial" w:hAnsi="Arial" w:cs="Arial"/>
          <w:sz w:val="22"/>
          <w:szCs w:val="22"/>
        </w:rPr>
      </w:pPr>
      <w:r w:rsidRPr="00683B0E">
        <w:rPr>
          <w:rFonts w:ascii="Arial" w:hAnsi="Arial" w:cs="Arial"/>
          <w:sz w:val="22"/>
          <w:szCs w:val="22"/>
        </w:rPr>
        <w:t>Track record of influencing partners and others to maximise the leverage we can obtain in the wider science world.</w:t>
      </w:r>
    </w:p>
    <w:p w:rsidR="000E35C5" w:rsidRPr="00683B0E" w:rsidRDefault="000E35C5" w:rsidP="000E35C5">
      <w:pPr>
        <w:rPr>
          <w:rFonts w:ascii="Arial" w:hAnsi="Arial" w:cs="Arial"/>
          <w:sz w:val="22"/>
          <w:szCs w:val="22"/>
        </w:rPr>
      </w:pPr>
    </w:p>
    <w:p w:rsidR="000E35C5" w:rsidRPr="00683B0E" w:rsidRDefault="000E35C5" w:rsidP="000E35C5">
      <w:pPr>
        <w:rPr>
          <w:rFonts w:ascii="Arial" w:hAnsi="Arial" w:cs="Arial"/>
          <w:sz w:val="22"/>
          <w:szCs w:val="22"/>
        </w:rPr>
      </w:pPr>
      <w:r w:rsidRPr="00683B0E">
        <w:rPr>
          <w:rFonts w:ascii="Arial" w:hAnsi="Arial" w:cs="Arial"/>
          <w:sz w:val="22"/>
          <w:szCs w:val="22"/>
        </w:rPr>
        <w:t>Experience of external dissemination of compelling science and evidence</w:t>
      </w:r>
    </w:p>
    <w:p w:rsidR="000E35C5" w:rsidRPr="00683B0E" w:rsidRDefault="000E35C5" w:rsidP="000E35C5">
      <w:pPr>
        <w:rPr>
          <w:rFonts w:ascii="Arial" w:hAnsi="Arial" w:cs="Arial"/>
          <w:sz w:val="22"/>
          <w:szCs w:val="22"/>
        </w:rPr>
      </w:pPr>
    </w:p>
    <w:p w:rsidR="000E35C5" w:rsidRDefault="000E35C5" w:rsidP="000E35C5">
      <w:pPr>
        <w:pStyle w:val="PlainText"/>
        <w:spacing w:line="276" w:lineRule="auto"/>
        <w:rPr>
          <w:rFonts w:ascii="Arial" w:hAnsi="Arial" w:cs="Arial"/>
          <w:sz w:val="22"/>
          <w:szCs w:val="22"/>
        </w:rPr>
      </w:pPr>
      <w:r w:rsidRPr="00683B0E">
        <w:rPr>
          <w:rFonts w:ascii="Arial" w:hAnsi="Arial" w:cs="Arial"/>
          <w:sz w:val="22"/>
          <w:szCs w:val="22"/>
        </w:rPr>
        <w:t>Some experience of working in a research and development environment.</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0E35C5">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0E35C5" w:rsidRPr="000E41BF" w:rsidRDefault="000E35C5" w:rsidP="000E35C5">
      <w:pPr>
        <w:pStyle w:val="PlainText"/>
        <w:spacing w:line="276" w:lineRule="auto"/>
        <w:rPr>
          <w:rFonts w:ascii="Arial" w:hAnsi="Arial" w:cs="Arial"/>
          <w:sz w:val="22"/>
          <w:szCs w:val="22"/>
        </w:rPr>
      </w:pPr>
      <w:r w:rsidRPr="000E41BF">
        <w:rPr>
          <w:rFonts w:ascii="Arial" w:hAnsi="Arial" w:cs="Arial"/>
          <w:sz w:val="22"/>
          <w:szCs w:val="22"/>
        </w:rPr>
        <w:t>This role requires extensive national travel and some international travel is likely.</w:t>
      </w:r>
    </w:p>
    <w:p w:rsidR="000E35C5" w:rsidRPr="000E41BF" w:rsidRDefault="000E35C5" w:rsidP="000E35C5">
      <w:pPr>
        <w:pStyle w:val="PlainText"/>
        <w:spacing w:line="276" w:lineRule="auto"/>
        <w:rPr>
          <w:rFonts w:ascii="Arial" w:hAnsi="Arial" w:cs="Arial"/>
          <w:sz w:val="22"/>
          <w:szCs w:val="22"/>
        </w:rPr>
      </w:pPr>
    </w:p>
    <w:p w:rsidR="000E35C5" w:rsidRDefault="000E35C5" w:rsidP="000E35C5">
      <w:pPr>
        <w:pStyle w:val="PlainText"/>
        <w:spacing w:line="276" w:lineRule="auto"/>
        <w:rPr>
          <w:rFonts w:ascii="Arial" w:hAnsi="Arial" w:cs="Arial"/>
          <w:sz w:val="22"/>
          <w:szCs w:val="22"/>
        </w:rPr>
      </w:pPr>
      <w:r w:rsidRPr="000E41BF">
        <w:rPr>
          <w:rFonts w:ascii="Arial" w:hAnsi="Arial" w:cs="Arial"/>
          <w:sz w:val="22"/>
          <w:szCs w:val="22"/>
        </w:rPr>
        <w:t xml:space="preserve">For further information on the role please contact Doug Wilson, Director of Research, Analysis and Evaluation at </w:t>
      </w:r>
      <w:hyperlink r:id="rId32" w:history="1">
        <w:r w:rsidRPr="000E41BF">
          <w:rPr>
            <w:rStyle w:val="Hyperlink"/>
            <w:rFonts w:ascii="Arial" w:hAnsi="Arial" w:cs="Arial"/>
            <w:sz w:val="22"/>
            <w:szCs w:val="22"/>
          </w:rPr>
          <w:t>doug.wilson@environment-agency.gov.uk</w:t>
        </w:r>
      </w:hyperlink>
      <w:r>
        <w:rPr>
          <w:rFonts w:ascii="Arial" w:hAnsi="Arial" w:cs="Arial"/>
          <w:sz w:val="22"/>
          <w:szCs w:val="22"/>
        </w:rPr>
        <w:t xml:space="preserve"> </w:t>
      </w:r>
    </w:p>
    <w:p w:rsidR="000E35C5" w:rsidRPr="002F0588" w:rsidRDefault="000E35C5" w:rsidP="000E35C5">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0E35C5" w:rsidRDefault="00FE2B0B"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0E35C5" w:rsidRDefault="000E35C5" w:rsidP="000E35C5">
      <w:pPr>
        <w:rPr>
          <w:rStyle w:val="Hyperlink"/>
          <w:rFonts w:ascii="Arial" w:hAnsi="Arial" w:cs="Arial"/>
          <w:sz w:val="22"/>
          <w:szCs w:val="22"/>
        </w:rPr>
      </w:pPr>
      <w:r w:rsidRPr="000E41BF">
        <w:rPr>
          <w:rFonts w:ascii="Arial" w:hAnsi="Arial" w:cs="Arial"/>
          <w:sz w:val="22"/>
          <w:szCs w:val="22"/>
        </w:rPr>
        <w:t xml:space="preserve">In order to apply, please submit your CV and a covering letter by clicking the </w:t>
      </w:r>
      <w:r w:rsidRPr="000E41BF">
        <w:rPr>
          <w:rFonts w:ascii="Arial" w:hAnsi="Arial" w:cs="Arial"/>
          <w:b/>
          <w:sz w:val="22"/>
          <w:szCs w:val="22"/>
        </w:rPr>
        <w:t>‘Apply’</w:t>
      </w:r>
      <w:r w:rsidRPr="000E41BF">
        <w:rPr>
          <w:rFonts w:ascii="Arial" w:hAnsi="Arial" w:cs="Arial"/>
          <w:sz w:val="22"/>
          <w:szCs w:val="22"/>
        </w:rPr>
        <w:t xml:space="preserve"> button (further details can be found below).</w:t>
      </w:r>
      <w:r>
        <w:rPr>
          <w:rStyle w:val="Hyperlink"/>
          <w:rFonts w:ascii="Arial" w:hAnsi="Arial" w:cs="Arial"/>
          <w:sz w:val="22"/>
          <w:szCs w:val="22"/>
        </w:rPr>
        <w:t xml:space="preserve"> </w:t>
      </w:r>
    </w:p>
    <w:p w:rsidR="000E35C5" w:rsidRPr="00AF0033" w:rsidRDefault="000E35C5" w:rsidP="000E35C5">
      <w:pPr>
        <w:pStyle w:val="Default"/>
        <w:rPr>
          <w:b/>
          <w:bCs/>
          <w:sz w:val="22"/>
          <w:szCs w:val="22"/>
        </w:rPr>
      </w:pPr>
    </w:p>
    <w:p w:rsidR="000E35C5" w:rsidRPr="001425AB" w:rsidRDefault="000E35C5" w:rsidP="000E35C5">
      <w:pPr>
        <w:pStyle w:val="Default"/>
        <w:rPr>
          <w:sz w:val="22"/>
          <w:szCs w:val="22"/>
        </w:rPr>
      </w:pPr>
      <w:r w:rsidRPr="001425AB">
        <w:rPr>
          <w:b/>
          <w:bCs/>
          <w:sz w:val="22"/>
          <w:szCs w:val="22"/>
        </w:rPr>
        <w:t xml:space="preserve">Curriculum Vitae </w:t>
      </w:r>
    </w:p>
    <w:p w:rsidR="000E35C5" w:rsidRPr="001425AB" w:rsidRDefault="000E35C5" w:rsidP="000E35C5">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rsidR="000E35C5" w:rsidRPr="001425AB" w:rsidRDefault="000E35C5" w:rsidP="000E35C5">
      <w:pPr>
        <w:pStyle w:val="Default"/>
        <w:jc w:val="both"/>
        <w:rPr>
          <w:b/>
          <w:bCs/>
          <w:sz w:val="22"/>
          <w:szCs w:val="22"/>
        </w:rPr>
      </w:pPr>
    </w:p>
    <w:p w:rsidR="000E35C5" w:rsidRPr="001425AB" w:rsidRDefault="000E35C5" w:rsidP="000E35C5">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rsidR="000E35C5" w:rsidRPr="001425AB" w:rsidRDefault="000E35C5" w:rsidP="000E35C5">
      <w:pPr>
        <w:pStyle w:val="Default"/>
        <w:jc w:val="both"/>
        <w:rPr>
          <w:sz w:val="22"/>
          <w:szCs w:val="22"/>
        </w:rPr>
      </w:pPr>
      <w:r w:rsidRPr="001425AB">
        <w:rPr>
          <w:sz w:val="22"/>
          <w:szCs w:val="22"/>
        </w:rPr>
        <w:t xml:space="preserve"> </w:t>
      </w:r>
    </w:p>
    <w:p w:rsidR="000E35C5" w:rsidRPr="001425AB" w:rsidRDefault="000E35C5" w:rsidP="000E35C5">
      <w:pPr>
        <w:pStyle w:val="Default"/>
        <w:jc w:val="both"/>
        <w:rPr>
          <w:sz w:val="22"/>
          <w:szCs w:val="22"/>
        </w:rPr>
      </w:pPr>
      <w:r w:rsidRPr="001425AB">
        <w:rPr>
          <w:b/>
          <w:bCs/>
          <w:sz w:val="22"/>
          <w:szCs w:val="22"/>
        </w:rPr>
        <w:t>Covering Letter</w:t>
      </w:r>
    </w:p>
    <w:p w:rsidR="000E35C5" w:rsidRPr="001425AB" w:rsidRDefault="000E35C5" w:rsidP="000E35C5">
      <w:pPr>
        <w:jc w:val="both"/>
        <w:rPr>
          <w:rFonts w:ascii="Arial" w:hAnsi="Arial" w:cs="Arial"/>
          <w:sz w:val="22"/>
          <w:szCs w:val="22"/>
        </w:rPr>
      </w:pPr>
    </w:p>
    <w:p w:rsidR="000E35C5" w:rsidRPr="00AF0033" w:rsidRDefault="000E35C5" w:rsidP="000E35C5">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rsidR="000E35C5" w:rsidRDefault="000E35C5" w:rsidP="000E35C5">
      <w:pPr>
        <w:spacing w:line="276" w:lineRule="auto"/>
        <w:rPr>
          <w:rFonts w:ascii="Arial" w:hAnsi="Arial" w:cs="Arial"/>
          <w:sz w:val="22"/>
          <w:szCs w:val="22"/>
        </w:rPr>
      </w:pPr>
    </w:p>
    <w:p w:rsidR="000E35C5" w:rsidRPr="000E7EFA" w:rsidRDefault="000E35C5" w:rsidP="000E35C5">
      <w:pPr>
        <w:pStyle w:val="ListParagraph"/>
        <w:numPr>
          <w:ilvl w:val="0"/>
          <w:numId w:val="12"/>
        </w:numPr>
        <w:spacing w:line="276" w:lineRule="auto"/>
        <w:rPr>
          <w:rFonts w:ascii="Arial" w:hAnsi="Arial" w:cs="Arial"/>
          <w:sz w:val="22"/>
          <w:szCs w:val="22"/>
        </w:rPr>
      </w:pPr>
      <w:r w:rsidRPr="000E7EFA">
        <w:rPr>
          <w:rFonts w:ascii="Arial" w:hAnsi="Arial" w:cs="Arial"/>
          <w:sz w:val="22"/>
          <w:szCs w:val="22"/>
        </w:rPr>
        <w:t xml:space="preserve">Collaborating and Partnering </w:t>
      </w:r>
    </w:p>
    <w:p w:rsidR="000E35C5" w:rsidRPr="000E7EFA" w:rsidRDefault="000E35C5" w:rsidP="000E35C5">
      <w:pPr>
        <w:pStyle w:val="ListParagraph"/>
        <w:numPr>
          <w:ilvl w:val="0"/>
          <w:numId w:val="12"/>
        </w:numPr>
        <w:spacing w:line="276" w:lineRule="auto"/>
        <w:rPr>
          <w:rFonts w:ascii="Arial" w:hAnsi="Arial" w:cs="Arial"/>
          <w:sz w:val="22"/>
          <w:szCs w:val="22"/>
        </w:rPr>
      </w:pPr>
      <w:r w:rsidRPr="000E7EFA">
        <w:rPr>
          <w:rFonts w:ascii="Arial" w:hAnsi="Arial" w:cs="Arial"/>
          <w:sz w:val="22"/>
          <w:szCs w:val="22"/>
        </w:rPr>
        <w:t>Managing a Quality Service</w:t>
      </w:r>
    </w:p>
    <w:p w:rsidR="000E35C5" w:rsidRPr="000E7EFA" w:rsidRDefault="000E35C5" w:rsidP="000E35C5">
      <w:pPr>
        <w:pStyle w:val="ListParagraph"/>
        <w:numPr>
          <w:ilvl w:val="0"/>
          <w:numId w:val="12"/>
        </w:numPr>
        <w:spacing w:line="276" w:lineRule="auto"/>
        <w:rPr>
          <w:rFonts w:ascii="Arial" w:hAnsi="Arial" w:cs="Arial"/>
          <w:sz w:val="22"/>
          <w:szCs w:val="22"/>
        </w:rPr>
      </w:pPr>
      <w:r w:rsidRPr="000E7EFA">
        <w:rPr>
          <w:rFonts w:ascii="Arial" w:hAnsi="Arial" w:cs="Arial"/>
          <w:sz w:val="22"/>
          <w:szCs w:val="22"/>
        </w:rPr>
        <w:t xml:space="preserve">Delivering at Pace </w:t>
      </w:r>
    </w:p>
    <w:p w:rsidR="000E35C5" w:rsidRDefault="000E35C5" w:rsidP="000E35C5">
      <w:pPr>
        <w:pStyle w:val="ListParagraph"/>
        <w:spacing w:line="276" w:lineRule="auto"/>
        <w:rPr>
          <w:rFonts w:ascii="Arial" w:hAnsi="Arial" w:cs="Arial"/>
          <w:sz w:val="22"/>
          <w:szCs w:val="22"/>
        </w:rPr>
      </w:pPr>
    </w:p>
    <w:p w:rsidR="000E35C5" w:rsidRPr="001425AB" w:rsidRDefault="000E35C5" w:rsidP="000E35C5">
      <w:pPr>
        <w:spacing w:line="276" w:lineRule="auto"/>
        <w:rPr>
          <w:rFonts w:ascii="Arial" w:hAnsi="Arial" w:cs="Arial"/>
          <w:sz w:val="22"/>
          <w:szCs w:val="22"/>
        </w:rPr>
      </w:pPr>
      <w:r w:rsidRPr="001425AB">
        <w:rPr>
          <w:rFonts w:ascii="Arial" w:hAnsi="Arial" w:cs="Arial"/>
          <w:sz w:val="22"/>
          <w:szCs w:val="22"/>
        </w:rPr>
        <w:t>Definitions of each of these capabilities is as follows:</w:t>
      </w:r>
    </w:p>
    <w:p w:rsidR="000E35C5" w:rsidRDefault="000E35C5" w:rsidP="000E35C5">
      <w:pPr>
        <w:pStyle w:val="PlainText"/>
        <w:spacing w:line="276" w:lineRule="auto"/>
        <w:contextualSpacing/>
        <w:rPr>
          <w:rFonts w:ascii="Arial" w:hAnsi="Arial" w:cs="Arial"/>
          <w:color w:val="000000"/>
          <w:sz w:val="22"/>
          <w:szCs w:val="22"/>
        </w:rPr>
      </w:pPr>
    </w:p>
    <w:tbl>
      <w:tblPr>
        <w:tblStyle w:val="TableGrid"/>
        <w:tblW w:w="9917" w:type="dxa"/>
        <w:tblInd w:w="-5" w:type="dxa"/>
        <w:tblLayout w:type="fixed"/>
        <w:tblLook w:val="04A0" w:firstRow="1" w:lastRow="0" w:firstColumn="1" w:lastColumn="0" w:noHBand="0" w:noVBand="1"/>
      </w:tblPr>
      <w:tblGrid>
        <w:gridCol w:w="2117"/>
        <w:gridCol w:w="3406"/>
        <w:gridCol w:w="4394"/>
      </w:tblGrid>
      <w:tr w:rsidR="000E35C5" w:rsidRPr="007D5F36" w:rsidTr="000E3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E35C5" w:rsidRPr="00BB3A7E" w:rsidRDefault="000E35C5" w:rsidP="000E35C5">
            <w:pPr>
              <w:keepNext/>
              <w:keepLines/>
              <w:spacing w:before="480" w:after="120"/>
              <w:ind w:left="-5"/>
              <w:outlineLvl w:val="0"/>
              <w:rPr>
                <w:rFonts w:eastAsia="Times New Roman" w:cs="Arial"/>
                <w:bCs/>
                <w:color w:val="FFFFFF" w:themeColor="background1"/>
                <w:sz w:val="28"/>
                <w:szCs w:val="28"/>
              </w:rPr>
            </w:pPr>
            <w:r w:rsidRPr="00BB3A7E">
              <w:rPr>
                <w:rFonts w:eastAsia="Times New Roman" w:cs="Arial"/>
                <w:bCs/>
                <w:color w:val="FFFFFF" w:themeColor="background1"/>
                <w:sz w:val="28"/>
                <w:szCs w:val="28"/>
              </w:rPr>
              <w:t>Competency</w:t>
            </w:r>
          </w:p>
        </w:tc>
        <w:tc>
          <w:tcPr>
            <w:tcW w:w="3406" w:type="dxa"/>
          </w:tcPr>
          <w:p w:rsidR="000E35C5" w:rsidRPr="00BB3A7E" w:rsidRDefault="000E35C5" w:rsidP="000E35C5">
            <w:pPr>
              <w:keepNext/>
              <w:keepLines/>
              <w:spacing w:before="480" w:after="120"/>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8"/>
                <w:szCs w:val="28"/>
              </w:rPr>
            </w:pPr>
            <w:r w:rsidRPr="00BB3A7E">
              <w:rPr>
                <w:rFonts w:eastAsia="Times New Roman" w:cs="Arial"/>
                <w:bCs/>
                <w:color w:val="FFFFFF" w:themeColor="background1"/>
                <w:sz w:val="28"/>
                <w:szCs w:val="28"/>
              </w:rPr>
              <w:t>Definition</w:t>
            </w:r>
          </w:p>
        </w:tc>
        <w:tc>
          <w:tcPr>
            <w:tcW w:w="4394" w:type="dxa"/>
          </w:tcPr>
          <w:p w:rsidR="000E35C5" w:rsidRPr="00BB3A7E" w:rsidRDefault="000E35C5" w:rsidP="000E35C5">
            <w:pPr>
              <w:keepNext/>
              <w:keepLines/>
              <w:spacing w:before="480" w:after="120"/>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8"/>
                <w:szCs w:val="28"/>
              </w:rPr>
            </w:pPr>
            <w:r w:rsidRPr="00BB3A7E">
              <w:rPr>
                <w:rFonts w:eastAsia="Times New Roman" w:cs="Arial"/>
                <w:bCs/>
                <w:color w:val="FFFFFF" w:themeColor="background1"/>
                <w:sz w:val="28"/>
                <w:szCs w:val="28"/>
              </w:rPr>
              <w:t>Indicators</w:t>
            </w:r>
          </w:p>
        </w:tc>
      </w:tr>
      <w:tr w:rsidR="000E35C5" w:rsidRPr="007D5F36" w:rsidTr="000E35C5">
        <w:trPr>
          <w:trHeight w:val="909"/>
        </w:trPr>
        <w:tc>
          <w:tcPr>
            <w:cnfStyle w:val="001000000000" w:firstRow="0" w:lastRow="0" w:firstColumn="1" w:lastColumn="0" w:oddVBand="0" w:evenVBand="0" w:oddHBand="0" w:evenHBand="0" w:firstRowFirstColumn="0" w:firstRowLastColumn="0" w:lastRowFirstColumn="0" w:lastRowLastColumn="0"/>
            <w:tcW w:w="2117" w:type="dxa"/>
          </w:tcPr>
          <w:p w:rsidR="000E35C5" w:rsidRPr="003A3DB6" w:rsidRDefault="000E35C5" w:rsidP="000E35C5">
            <w:pPr>
              <w:spacing w:after="120"/>
              <w:ind w:left="0"/>
              <w:rPr>
                <w:rFonts w:cs="Arial"/>
                <w:color w:val="365F91" w:themeColor="accent1" w:themeShade="BF"/>
                <w:sz w:val="22"/>
                <w:szCs w:val="22"/>
              </w:rPr>
            </w:pPr>
            <w:r>
              <w:rPr>
                <w:sz w:val="22"/>
                <w:szCs w:val="22"/>
              </w:rPr>
              <w:t xml:space="preserve">Collaborating and Partnering </w:t>
            </w:r>
          </w:p>
        </w:tc>
        <w:tc>
          <w:tcPr>
            <w:tcW w:w="3406" w:type="dxa"/>
          </w:tcPr>
          <w:p w:rsidR="000E35C5" w:rsidRPr="003A3DB6" w:rsidRDefault="000E35C5" w:rsidP="00C40AC8">
            <w:pPr>
              <w:spacing w:after="120"/>
              <w:cnfStyle w:val="000000000000" w:firstRow="0" w:lastRow="0" w:firstColumn="0" w:lastColumn="0" w:oddVBand="0" w:evenVBand="0" w:oddHBand="0" w:evenHBand="0" w:firstRowFirstColumn="0" w:firstRowLastColumn="0" w:lastRowFirstColumn="0" w:lastRowLastColumn="0"/>
              <w:rPr>
                <w:rFonts w:cs="Arial"/>
                <w:color w:val="365F91" w:themeColor="accent1" w:themeShade="BF"/>
                <w:sz w:val="22"/>
                <w:szCs w:val="22"/>
              </w:rPr>
            </w:pPr>
            <w:r>
              <w:t xml:space="preserve"> </w:t>
            </w:r>
            <w:r w:rsidRPr="001F1C0B">
              <w:rPr>
                <w:sz w:val="22"/>
                <w:szCs w:val="22"/>
              </w:rPr>
              <w:t xml:space="preserve">Effective working, sharing of information and building supportive, responsive, collaborative relationships with colleagues at all levels.  It’s about achieving business objectives by creating and inclusive working environment, </w:t>
            </w:r>
            <w:r w:rsidRPr="001F1C0B">
              <w:rPr>
                <w:sz w:val="22"/>
                <w:szCs w:val="22"/>
              </w:rPr>
              <w:lastRenderedPageBreak/>
              <w:t>encouraging collaboration and building effective partnerships, internally and externally.</w:t>
            </w:r>
          </w:p>
        </w:tc>
        <w:tc>
          <w:tcPr>
            <w:tcW w:w="4394" w:type="dxa"/>
          </w:tcPr>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lastRenderedPageBreak/>
              <w:t xml:space="preserve"> </w:t>
            </w:r>
            <w:r w:rsidRPr="001F1C0B">
              <w:rPr>
                <w:rFonts w:eastAsia="Arial"/>
                <w:sz w:val="22"/>
                <w:szCs w:val="22"/>
              </w:rPr>
              <w:t>Demonstrates an approachable and accessible leadership style.</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Knows how to engage with staff from a broad and diverse range and communicates effectively at all levels.</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Can identify when a compromise is beneficial to progress and communicates this without hesitation</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lastRenderedPageBreak/>
              <w:t>Happy to challenge assumptions with authority and evidence.</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Builds and leads high performing, diverse teams within area of influence, aligned around common goals</w:t>
            </w:r>
          </w:p>
          <w:p w:rsidR="000E35C5" w:rsidRPr="003A3DB6"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ascii="Helvetica" w:hAnsi="Helvetica"/>
              </w:rPr>
            </w:pPr>
            <w:r w:rsidRPr="001F1C0B">
              <w:rPr>
                <w:rFonts w:eastAsia="Arial"/>
                <w:sz w:val="22"/>
                <w:szCs w:val="22"/>
              </w:rPr>
              <w:t>Leads by example in driving a diverse and collaborative working culture that encourages transparency and open communication in a large and complex organisation.</w:t>
            </w:r>
          </w:p>
        </w:tc>
      </w:tr>
      <w:tr w:rsidR="000E35C5" w:rsidRPr="007D5F36" w:rsidTr="000E35C5">
        <w:trPr>
          <w:cnfStyle w:val="000000010000" w:firstRow="0" w:lastRow="0" w:firstColumn="0" w:lastColumn="0" w:oddVBand="0" w:evenVBand="0" w:oddHBand="0" w:evenHBand="1"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117" w:type="dxa"/>
            <w:shd w:val="clear" w:color="auto" w:fill="FFFFFF" w:themeFill="background1"/>
          </w:tcPr>
          <w:p w:rsidR="000E35C5" w:rsidRPr="003A3DB6" w:rsidRDefault="000E35C5" w:rsidP="00C40AC8">
            <w:pPr>
              <w:spacing w:after="120"/>
              <w:ind w:left="0"/>
              <w:rPr>
                <w:rFonts w:cs="Arial"/>
                <w:color w:val="365F91" w:themeColor="accent1" w:themeShade="BF"/>
                <w:sz w:val="22"/>
                <w:szCs w:val="22"/>
              </w:rPr>
            </w:pPr>
            <w:r w:rsidRPr="001F1C0B">
              <w:rPr>
                <w:sz w:val="22"/>
                <w:szCs w:val="22"/>
              </w:rPr>
              <w:lastRenderedPageBreak/>
              <w:t>Managing a quality service</w:t>
            </w:r>
          </w:p>
        </w:tc>
        <w:tc>
          <w:tcPr>
            <w:tcW w:w="3406" w:type="dxa"/>
            <w:shd w:val="clear" w:color="auto" w:fill="FFFFFF" w:themeFill="background1"/>
          </w:tcPr>
          <w:p w:rsidR="000E35C5" w:rsidRPr="003A3DB6" w:rsidRDefault="000E35C5" w:rsidP="00C40AC8">
            <w:pPr>
              <w:spacing w:after="120"/>
              <w:cnfStyle w:val="000000010000" w:firstRow="0" w:lastRow="0" w:firstColumn="0" w:lastColumn="0" w:oddVBand="0" w:evenVBand="0" w:oddHBand="0" w:evenHBand="1" w:firstRowFirstColumn="0" w:firstRowLastColumn="0" w:lastRowFirstColumn="0" w:lastRowLastColumn="0"/>
              <w:rPr>
                <w:rFonts w:cs="Arial"/>
                <w:color w:val="365F91" w:themeColor="accent1" w:themeShade="BF"/>
                <w:sz w:val="22"/>
                <w:szCs w:val="22"/>
              </w:rPr>
            </w:pPr>
            <w:r>
              <w:t xml:space="preserve"> </w:t>
            </w:r>
            <w:r w:rsidRPr="001F1C0B">
              <w:rPr>
                <w:sz w:val="22"/>
                <w:szCs w:val="22"/>
              </w:rPr>
              <w:t>Being effective in this area is about being organised to deliver service objectives and striving to improve the quality of service, taking account of diverse customer needs and requirements.  It is about creating an environment to deliver operational excellence and creating the most appropriate and cost effective delivery models.</w:t>
            </w:r>
          </w:p>
        </w:tc>
        <w:tc>
          <w:tcPr>
            <w:tcW w:w="4394" w:type="dxa"/>
            <w:shd w:val="clear" w:color="auto" w:fill="FFFFFF" w:themeFill="background1"/>
          </w:tcPr>
          <w:p w:rsidR="000E35C5" w:rsidRPr="001F1C0B" w:rsidRDefault="000E35C5" w:rsidP="000E35C5">
            <w:pPr>
              <w:pStyle w:val="Capabilityindicators"/>
              <w:cnfStyle w:val="000000010000" w:firstRow="0" w:lastRow="0" w:firstColumn="0" w:lastColumn="0" w:oddVBand="0" w:evenVBand="0" w:oddHBand="0" w:evenHBand="1" w:firstRowFirstColumn="0" w:firstRowLastColumn="0" w:lastRowFirstColumn="0" w:lastRowLastColumn="0"/>
              <w:rPr>
                <w:rFonts w:eastAsia="Arial"/>
                <w:sz w:val="22"/>
                <w:szCs w:val="22"/>
              </w:rPr>
            </w:pPr>
            <w:r>
              <w:t xml:space="preserve"> </w:t>
            </w:r>
            <w:r w:rsidRPr="001F1C0B">
              <w:rPr>
                <w:rFonts w:eastAsia="Arial"/>
                <w:sz w:val="22"/>
                <w:szCs w:val="22"/>
              </w:rPr>
              <w:t>Fully conversant with the resources needed to provide the best possible service.</w:t>
            </w:r>
          </w:p>
          <w:p w:rsidR="000E35C5" w:rsidRPr="001F1C0B" w:rsidRDefault="000E35C5" w:rsidP="000E35C5">
            <w:pPr>
              <w:pStyle w:val="Capabilityindicators"/>
              <w:cnfStyle w:val="000000010000" w:firstRow="0" w:lastRow="0" w:firstColumn="0" w:lastColumn="0" w:oddVBand="0" w:evenVBand="0" w:oddHBand="0" w:evenHBand="1" w:firstRowFirstColumn="0" w:firstRowLastColumn="0" w:lastRowFirstColumn="0" w:lastRowLastColumn="0"/>
              <w:rPr>
                <w:rFonts w:eastAsia="Arial"/>
                <w:sz w:val="22"/>
                <w:szCs w:val="22"/>
              </w:rPr>
            </w:pPr>
            <w:r w:rsidRPr="001F1C0B">
              <w:rPr>
                <w:rFonts w:eastAsia="Arial"/>
                <w:sz w:val="22"/>
                <w:szCs w:val="22"/>
              </w:rPr>
              <w:t>Able to confidently translate complex aims into clear and manageable plans and determine resource requirements to support implementation.</w:t>
            </w:r>
          </w:p>
          <w:p w:rsidR="000E35C5" w:rsidRPr="001F1C0B" w:rsidRDefault="000E35C5" w:rsidP="000E35C5">
            <w:pPr>
              <w:pStyle w:val="Capabilityindicators"/>
              <w:cnfStyle w:val="000000010000" w:firstRow="0" w:lastRow="0" w:firstColumn="0" w:lastColumn="0" w:oddVBand="0" w:evenVBand="0" w:oddHBand="0" w:evenHBand="1" w:firstRowFirstColumn="0" w:firstRowLastColumn="0" w:lastRowFirstColumn="0" w:lastRowLastColumn="0"/>
              <w:rPr>
                <w:rFonts w:eastAsia="Arial"/>
                <w:sz w:val="22"/>
                <w:szCs w:val="22"/>
              </w:rPr>
            </w:pPr>
            <w:r w:rsidRPr="001F1C0B">
              <w:rPr>
                <w:rFonts w:eastAsia="Arial"/>
                <w:sz w:val="22"/>
                <w:szCs w:val="22"/>
              </w:rPr>
              <w:t>Make sure team fully understand the customers’ needs</w:t>
            </w:r>
          </w:p>
          <w:p w:rsidR="000E35C5" w:rsidRPr="003A3DB6" w:rsidRDefault="000E35C5" w:rsidP="000E35C5">
            <w:pPr>
              <w:pStyle w:val="Capabilityindicators"/>
              <w:cnfStyle w:val="000000010000" w:firstRow="0" w:lastRow="0" w:firstColumn="0" w:lastColumn="0" w:oddVBand="0" w:evenVBand="0" w:oddHBand="0" w:evenHBand="1" w:firstRowFirstColumn="0" w:firstRowLastColumn="0" w:lastRowFirstColumn="0" w:lastRowLastColumn="0"/>
            </w:pPr>
            <w:r w:rsidRPr="001F1C0B">
              <w:rPr>
                <w:rFonts w:eastAsia="Arial"/>
                <w:sz w:val="22"/>
                <w:szCs w:val="22"/>
              </w:rPr>
              <w:t>Engages the team on a regular basis to describe the risks for a poor service on our reputation to everyone involved in providing the service.</w:t>
            </w:r>
          </w:p>
        </w:tc>
      </w:tr>
      <w:tr w:rsidR="000E35C5" w:rsidRPr="007D5F36" w:rsidTr="000E35C5">
        <w:trPr>
          <w:trHeight w:val="980"/>
        </w:trPr>
        <w:tc>
          <w:tcPr>
            <w:cnfStyle w:val="001000000000" w:firstRow="0" w:lastRow="0" w:firstColumn="1" w:lastColumn="0" w:oddVBand="0" w:evenVBand="0" w:oddHBand="0" w:evenHBand="0" w:firstRowFirstColumn="0" w:firstRowLastColumn="0" w:lastRowFirstColumn="0" w:lastRowLastColumn="0"/>
            <w:tcW w:w="2117" w:type="dxa"/>
          </w:tcPr>
          <w:p w:rsidR="000E35C5" w:rsidRPr="003A3DB6" w:rsidRDefault="000E35C5" w:rsidP="00C40AC8">
            <w:pPr>
              <w:spacing w:after="120"/>
              <w:rPr>
                <w:rFonts w:cs="Arial"/>
                <w:color w:val="365F91" w:themeColor="accent1" w:themeShade="BF"/>
                <w:sz w:val="22"/>
                <w:szCs w:val="22"/>
              </w:rPr>
            </w:pPr>
            <w:r w:rsidRPr="001F1C0B">
              <w:rPr>
                <w:sz w:val="22"/>
                <w:szCs w:val="22"/>
              </w:rPr>
              <w:t>Delivering at pace</w:t>
            </w:r>
          </w:p>
        </w:tc>
        <w:tc>
          <w:tcPr>
            <w:tcW w:w="3406" w:type="dxa"/>
          </w:tcPr>
          <w:p w:rsidR="000E35C5" w:rsidRPr="003A3DB6" w:rsidRDefault="000E35C5" w:rsidP="00C40AC8">
            <w:pPr>
              <w:spacing w:after="120"/>
              <w:cnfStyle w:val="000000000000" w:firstRow="0" w:lastRow="0" w:firstColumn="0" w:lastColumn="0" w:oddVBand="0" w:evenVBand="0" w:oddHBand="0" w:evenHBand="0" w:firstRowFirstColumn="0" w:firstRowLastColumn="0" w:lastRowFirstColumn="0" w:lastRowLastColumn="0"/>
              <w:rPr>
                <w:rFonts w:cs="Arial"/>
                <w:color w:val="365F91" w:themeColor="accent1" w:themeShade="BF"/>
                <w:sz w:val="22"/>
                <w:szCs w:val="22"/>
              </w:rPr>
            </w:pPr>
            <w:r>
              <w:t xml:space="preserve"> </w:t>
            </w:r>
            <w:r w:rsidRPr="001F1C0B">
              <w:rPr>
                <w:sz w:val="22"/>
                <w:szCs w:val="22"/>
              </w:rPr>
              <w:t>It’s about focusing on achieving timely performance with energy and taking responsibility and accountability for quality results.  Building a performance culture to achieve results with a firm focus on prioritising and addressing performance issues resolutely, Leaders provide the energy and focus to drive activities forward through others and encouraging staff to perform effectively during challenging and changing times.</w:t>
            </w:r>
          </w:p>
        </w:tc>
        <w:tc>
          <w:tcPr>
            <w:tcW w:w="4394" w:type="dxa"/>
          </w:tcPr>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t xml:space="preserve"> </w:t>
            </w:r>
            <w:r w:rsidRPr="001F1C0B">
              <w:rPr>
                <w:rFonts w:eastAsia="Arial"/>
                <w:sz w:val="22"/>
                <w:szCs w:val="22"/>
              </w:rPr>
              <w:t>A resilient and responsive leader who is happy to be open and honest about challenges, and the actions required to address unexpected developments</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Confident in being able to deliver against strict and sometimes unexpected changes in budget and priorities.</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A role model for the whole team and peers in their enthusiasm and energy to achieve results</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A clear leader who can drive a performance culture and achieve results through others, holding them accountable for results</w:t>
            </w:r>
          </w:p>
          <w:p w:rsidR="000E35C5" w:rsidRPr="001F1C0B"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1F1C0B">
              <w:rPr>
                <w:rFonts w:eastAsia="Arial"/>
                <w:sz w:val="22"/>
                <w:szCs w:val="22"/>
              </w:rPr>
              <w:t>Happy to challenge team and other executive department leaders if their success is impacted by other department’s failings.</w:t>
            </w:r>
          </w:p>
          <w:p w:rsidR="000E35C5" w:rsidRPr="003A3DB6" w:rsidRDefault="000E35C5" w:rsidP="000E35C5">
            <w:pPr>
              <w:pStyle w:val="Capabilityindicators"/>
              <w:cnfStyle w:val="000000000000" w:firstRow="0" w:lastRow="0" w:firstColumn="0" w:lastColumn="0" w:oddVBand="0" w:evenVBand="0" w:oddHBand="0" w:evenHBand="0" w:firstRowFirstColumn="0" w:firstRowLastColumn="0" w:lastRowFirstColumn="0" w:lastRowLastColumn="0"/>
              <w:rPr>
                <w:sz w:val="22"/>
                <w:szCs w:val="22"/>
              </w:rPr>
            </w:pPr>
            <w:r w:rsidRPr="001F1C0B">
              <w:rPr>
                <w:rFonts w:eastAsia="Arial"/>
                <w:sz w:val="22"/>
                <w:szCs w:val="22"/>
              </w:rPr>
              <w:t>Remains focused on their outcomes and priorities irrespective of external challenges</w:t>
            </w:r>
          </w:p>
        </w:tc>
      </w:tr>
    </w:tbl>
    <w:p w:rsidR="000E35C5" w:rsidRDefault="000E35C5" w:rsidP="005306B3">
      <w:pPr>
        <w:pStyle w:val="PlainText"/>
        <w:spacing w:line="276" w:lineRule="auto"/>
        <w:contextualSpacing/>
        <w:rPr>
          <w:rFonts w:ascii="Arial" w:hAnsi="Arial" w:cs="Arial"/>
          <w:color w:val="000000"/>
          <w:sz w:val="22"/>
          <w:szCs w:val="22"/>
        </w:rPr>
      </w:pP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D874FD" w:rsidRPr="00580EEA" w:rsidRDefault="00D874FD" w:rsidP="00580EEA">
      <w:pPr>
        <w:spacing w:after="240"/>
        <w:rPr>
          <w:rFonts w:ascii="Calibri" w:hAnsi="Calibri" w:cs="Calibri"/>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A241F9" w:rsidRDefault="00D874FD" w:rsidP="00580EEA">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B84934" w:rsidRDefault="00B84934" w:rsidP="005306B3">
      <w:pPr>
        <w:pStyle w:val="PlainText"/>
        <w:spacing w:line="276" w:lineRule="auto"/>
        <w:contextualSpacing/>
        <w:rPr>
          <w:rFonts w:ascii="Arial" w:hAnsi="Arial" w:cs="Arial"/>
          <w:color w:val="000000"/>
          <w:sz w:val="22"/>
          <w:szCs w:val="22"/>
        </w:rPr>
      </w:pPr>
      <w:bookmarkStart w:id="0" w:name="_GoBack"/>
      <w:bookmarkEnd w:id="0"/>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C03DA2" w:rsidRDefault="00C03DA2" w:rsidP="005306B3">
      <w:pPr>
        <w:pStyle w:val="PlainText"/>
        <w:spacing w:line="276" w:lineRule="auto"/>
        <w:contextualSpacing/>
        <w:rPr>
          <w:rFonts w:ascii="Arial" w:hAnsi="Arial" w:cs="Arial"/>
          <w:color w:val="000000"/>
          <w:sz w:val="22"/>
          <w:szCs w:val="22"/>
        </w:rPr>
      </w:pPr>
    </w:p>
    <w:p w:rsidR="00C03DA2" w:rsidRDefault="00C03DA2" w:rsidP="005306B3">
      <w:pPr>
        <w:pStyle w:val="PlainText"/>
        <w:spacing w:line="276" w:lineRule="auto"/>
        <w:contextualSpacing/>
        <w:rPr>
          <w:rFonts w:ascii="Arial" w:hAnsi="Arial" w:cs="Arial"/>
          <w:color w:val="000000"/>
          <w:sz w:val="22"/>
          <w:szCs w:val="22"/>
        </w:rPr>
      </w:pPr>
      <w:r w:rsidRPr="00C03DA2">
        <w:rPr>
          <w:rFonts w:ascii="Arial" w:hAnsi="Arial" w:cs="Arial"/>
          <w:color w:val="000000"/>
          <w:sz w:val="22"/>
          <w:szCs w:val="22"/>
        </w:rPr>
        <w:t>Interviews are due to be held at the end of March.</w:t>
      </w:r>
    </w:p>
    <w:p w:rsidR="00C03DA2" w:rsidRDefault="00C03DA2"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lastRenderedPageBreak/>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57B8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7283804"/>
    <w:multiLevelType w:val="hybridMultilevel"/>
    <w:tmpl w:val="44E2EA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AE14C00"/>
    <w:multiLevelType w:val="hybridMultilevel"/>
    <w:tmpl w:val="C4E0516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7EAB3152"/>
    <w:multiLevelType w:val="hybridMultilevel"/>
    <w:tmpl w:val="0C903382"/>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tentative="1">
      <w:start w:val="1"/>
      <w:numFmt w:val="bullet"/>
      <w:lvlText w:val=""/>
      <w:lvlJc w:val="left"/>
      <w:pPr>
        <w:tabs>
          <w:tab w:val="num" w:pos="2160"/>
        </w:tabs>
        <w:ind w:left="2160" w:hanging="360"/>
      </w:pPr>
      <w:rPr>
        <w:rFonts w:ascii="Wingdings" w:hAnsi="Wingdings" w:hint="default"/>
      </w:rPr>
    </w:lvl>
    <w:lvl w:ilvl="3" w:tplc="B98CAF50" w:tentative="1">
      <w:start w:val="1"/>
      <w:numFmt w:val="bullet"/>
      <w:lvlText w:val=""/>
      <w:lvlJc w:val="left"/>
      <w:pPr>
        <w:tabs>
          <w:tab w:val="num" w:pos="2880"/>
        </w:tabs>
        <w:ind w:left="2880" w:hanging="360"/>
      </w:pPr>
      <w:rPr>
        <w:rFonts w:ascii="Symbol" w:hAnsi="Symbol" w:hint="default"/>
      </w:rPr>
    </w:lvl>
    <w:lvl w:ilvl="4" w:tplc="436C034E" w:tentative="1">
      <w:start w:val="1"/>
      <w:numFmt w:val="bullet"/>
      <w:lvlText w:val="o"/>
      <w:lvlJc w:val="left"/>
      <w:pPr>
        <w:tabs>
          <w:tab w:val="num" w:pos="3600"/>
        </w:tabs>
        <w:ind w:left="3600" w:hanging="360"/>
      </w:pPr>
      <w:rPr>
        <w:rFonts w:ascii="Courier New" w:hAnsi="Courier New" w:cs="Courier New" w:hint="default"/>
      </w:rPr>
    </w:lvl>
    <w:lvl w:ilvl="5" w:tplc="1144B844" w:tentative="1">
      <w:start w:val="1"/>
      <w:numFmt w:val="bullet"/>
      <w:lvlText w:val=""/>
      <w:lvlJc w:val="left"/>
      <w:pPr>
        <w:tabs>
          <w:tab w:val="num" w:pos="4320"/>
        </w:tabs>
        <w:ind w:left="4320" w:hanging="360"/>
      </w:pPr>
      <w:rPr>
        <w:rFonts w:ascii="Wingdings" w:hAnsi="Wingdings" w:hint="default"/>
      </w:rPr>
    </w:lvl>
    <w:lvl w:ilvl="6" w:tplc="928818BC" w:tentative="1">
      <w:start w:val="1"/>
      <w:numFmt w:val="bullet"/>
      <w:lvlText w:val=""/>
      <w:lvlJc w:val="left"/>
      <w:pPr>
        <w:tabs>
          <w:tab w:val="num" w:pos="5040"/>
        </w:tabs>
        <w:ind w:left="5040" w:hanging="360"/>
      </w:pPr>
      <w:rPr>
        <w:rFonts w:ascii="Symbol" w:hAnsi="Symbol" w:hint="default"/>
      </w:rPr>
    </w:lvl>
    <w:lvl w:ilvl="7" w:tplc="3744A8AE" w:tentative="1">
      <w:start w:val="1"/>
      <w:numFmt w:val="bullet"/>
      <w:lvlText w:val="o"/>
      <w:lvlJc w:val="left"/>
      <w:pPr>
        <w:tabs>
          <w:tab w:val="num" w:pos="5760"/>
        </w:tabs>
        <w:ind w:left="5760" w:hanging="360"/>
      </w:pPr>
      <w:rPr>
        <w:rFonts w:ascii="Courier New" w:hAnsi="Courier New" w:cs="Courier New" w:hint="default"/>
      </w:rPr>
    </w:lvl>
    <w:lvl w:ilvl="8" w:tplc="9B660EB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2"/>
  </w:num>
  <w:num w:numId="6">
    <w:abstractNumId w:val="0"/>
  </w:num>
  <w:num w:numId="7">
    <w:abstractNumId w:val="5"/>
  </w:num>
  <w:num w:numId="8">
    <w:abstractNumId w:val="3"/>
  </w:num>
  <w:num w:numId="9">
    <w:abstractNumId w:val="6"/>
  </w:num>
  <w:num w:numId="10">
    <w:abstractNumId w:val="9"/>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0E35C5"/>
    <w:rsid w:val="001070E3"/>
    <w:rsid w:val="00112978"/>
    <w:rsid w:val="00115394"/>
    <w:rsid w:val="00134DD1"/>
    <w:rsid w:val="0013566A"/>
    <w:rsid w:val="0015141C"/>
    <w:rsid w:val="00156B31"/>
    <w:rsid w:val="00165039"/>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0EEA"/>
    <w:rsid w:val="005837A7"/>
    <w:rsid w:val="00583B07"/>
    <w:rsid w:val="0059166E"/>
    <w:rsid w:val="005E6DEC"/>
    <w:rsid w:val="005F4310"/>
    <w:rsid w:val="005F49F5"/>
    <w:rsid w:val="00654DAB"/>
    <w:rsid w:val="0067486A"/>
    <w:rsid w:val="006B628A"/>
    <w:rsid w:val="006D47BC"/>
    <w:rsid w:val="006E7A73"/>
    <w:rsid w:val="0070191E"/>
    <w:rsid w:val="00716DBB"/>
    <w:rsid w:val="00724AA7"/>
    <w:rsid w:val="007365C1"/>
    <w:rsid w:val="00745FDA"/>
    <w:rsid w:val="007A2BBB"/>
    <w:rsid w:val="007B3A09"/>
    <w:rsid w:val="007B5661"/>
    <w:rsid w:val="007B5C92"/>
    <w:rsid w:val="007D5D7D"/>
    <w:rsid w:val="00857B8F"/>
    <w:rsid w:val="008744B8"/>
    <w:rsid w:val="008A0F1A"/>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84934"/>
    <w:rsid w:val="00BA79C1"/>
    <w:rsid w:val="00BB5F80"/>
    <w:rsid w:val="00C03D44"/>
    <w:rsid w:val="00C03DA2"/>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34"/>
    <w:qFormat/>
    <w:rsid w:val="006B628A"/>
    <w:pPr>
      <w:ind w:left="720"/>
      <w:contextualSpacing/>
    </w:pPr>
  </w:style>
  <w:style w:type="table" w:styleId="TableGrid">
    <w:name w:val="Table Grid"/>
    <w:basedOn w:val="TableNormal"/>
    <w:uiPriority w:val="59"/>
    <w:rsid w:val="000E35C5"/>
    <w:pPr>
      <w:ind w:left="85" w:right="85"/>
    </w:pPr>
    <w:rPr>
      <w:rFonts w:ascii="Arial" w:eastAsia="Arial" w:hAnsi="Arial"/>
    </w:rPr>
    <w:tblPr>
      <w:tblStyleRow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 w:type="paragraph" w:customStyle="1" w:styleId="Default">
    <w:name w:val="Default"/>
    <w:basedOn w:val="Normal"/>
    <w:rsid w:val="000E35C5"/>
    <w:pPr>
      <w:autoSpaceDE w:val="0"/>
      <w:autoSpaceDN w:val="0"/>
    </w:pPr>
    <w:rPr>
      <w:rFonts w:ascii="Arial" w:eastAsiaTheme="minorHAnsi" w:hAnsi="Arial" w:cs="Arial"/>
      <w:color w:val="000000"/>
      <w:lang w:eastAsia="en-GB"/>
    </w:rPr>
  </w:style>
  <w:style w:type="paragraph" w:customStyle="1" w:styleId="Capabilityindicators">
    <w:name w:val="Capability indicators"/>
    <w:basedOn w:val="Normal"/>
    <w:link w:val="CapabilityindicatorsChar"/>
    <w:rsid w:val="000E35C5"/>
    <w:pPr>
      <w:numPr>
        <w:numId w:val="13"/>
      </w:numPr>
    </w:pPr>
    <w:rPr>
      <w:rFonts w:ascii="Arial" w:eastAsia="Times New Roman" w:hAnsi="Arial"/>
      <w:sz w:val="20"/>
      <w:lang w:eastAsia="en-GB"/>
    </w:rPr>
  </w:style>
  <w:style w:type="character" w:customStyle="1" w:styleId="CapabilityindicatorsChar">
    <w:name w:val="Capability indicators Char"/>
    <w:link w:val="Capabilityindicators"/>
    <w:rsid w:val="000E35C5"/>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2804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oug.wilson@environment-agency.gov.uk"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76D7-BE8E-41B8-B629-E47D265C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3</cp:revision>
  <cp:lastPrinted>2018-01-29T15:25:00Z</cp:lastPrinted>
  <dcterms:created xsi:type="dcterms:W3CDTF">2018-02-13T14:36:00Z</dcterms:created>
  <dcterms:modified xsi:type="dcterms:W3CDTF">2018-02-13T14:37:00Z</dcterms:modified>
</cp:coreProperties>
</file>